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D3AA" w14:textId="77BB9AA3" w:rsidR="00A135EE" w:rsidRPr="004D4515" w:rsidRDefault="00B732C6" w:rsidP="00AF122C">
      <w:pPr>
        <w:spacing w:after="0" w:line="240" w:lineRule="auto"/>
        <w:ind w:right="-1"/>
        <w:jc w:val="center"/>
        <w:rPr>
          <w:rFonts w:ascii="Times New Roman" w:hAnsi="Times New Roman" w:cs="Times New Roman"/>
          <w:b/>
          <w:bCs/>
          <w:color w:val="auto"/>
          <w:sz w:val="24"/>
          <w:szCs w:val="24"/>
          <w:shd w:val="clear" w:color="auto" w:fill="FFFFFF"/>
        </w:rPr>
      </w:pPr>
      <w:bookmarkStart w:id="0" w:name="_GoBack"/>
      <w:bookmarkEnd w:id="0"/>
      <w:r>
        <w:rPr>
          <w:rFonts w:ascii="Times New Roman" w:hAnsi="Times New Roman" w:cs="Times New Roman"/>
          <w:b/>
          <w:bCs/>
          <w:color w:val="auto"/>
          <w:sz w:val="24"/>
          <w:szCs w:val="24"/>
        </w:rPr>
        <w:t xml:space="preserve">Ministru kabineta noteikumu projekta </w:t>
      </w:r>
      <w:r w:rsidR="00283E48">
        <w:rPr>
          <w:rFonts w:ascii="Times New Roman" w:hAnsi="Times New Roman" w:cs="Times New Roman"/>
          <w:b/>
          <w:bCs/>
          <w:color w:val="auto"/>
          <w:sz w:val="24"/>
          <w:szCs w:val="24"/>
        </w:rPr>
        <w:t>"</w:t>
      </w:r>
      <w:r w:rsidRPr="00B732C6">
        <w:rPr>
          <w:rFonts w:ascii="Times New Roman" w:hAnsi="Times New Roman" w:cs="Times New Roman"/>
          <w:b/>
          <w:bCs/>
          <w:color w:val="auto"/>
          <w:sz w:val="24"/>
          <w:szCs w:val="24"/>
        </w:rPr>
        <w:t>Politiskajām organizācijām (partijām) piešķirtā valsts budžeta finansējuma izlietojuma noteikumi</w:t>
      </w:r>
      <w:r w:rsidR="00283E48">
        <w:rPr>
          <w:rFonts w:ascii="Times New Roman" w:hAnsi="Times New Roman" w:cs="Times New Roman"/>
          <w:b/>
          <w:bCs/>
          <w:color w:val="auto"/>
          <w:sz w:val="24"/>
          <w:szCs w:val="24"/>
        </w:rPr>
        <w:t>"</w:t>
      </w:r>
      <w:r w:rsidR="00A135EE" w:rsidRPr="0064585B">
        <w:rPr>
          <w:rFonts w:ascii="Times New Roman" w:hAnsi="Times New Roman" w:cs="Times New Roman"/>
          <w:b/>
          <w:bCs/>
          <w:color w:val="auto"/>
          <w:sz w:val="24"/>
          <w:szCs w:val="24"/>
        </w:rPr>
        <w:t xml:space="preserve"> </w:t>
      </w:r>
      <w:r w:rsidR="00A135EE" w:rsidRPr="004D4515">
        <w:rPr>
          <w:rFonts w:ascii="Times New Roman" w:hAnsi="Times New Roman" w:cs="Times New Roman"/>
          <w:b/>
          <w:bCs/>
          <w:color w:val="auto"/>
          <w:sz w:val="24"/>
          <w:szCs w:val="24"/>
          <w:shd w:val="clear" w:color="auto" w:fill="FFFFFF"/>
        </w:rPr>
        <w:t>sākotnējās ietekmes novērtējuma ziņojums (anotācija)</w:t>
      </w:r>
    </w:p>
    <w:tbl>
      <w:tblPr>
        <w:tblW w:w="5009"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3506"/>
        <w:gridCol w:w="5565"/>
      </w:tblGrid>
      <w:tr w:rsidR="007F4F39" w:rsidRPr="0064585B" w14:paraId="0BDB378F" w14:textId="77777777" w:rsidTr="00AF122C">
        <w:tc>
          <w:tcPr>
            <w:tcW w:w="907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CFA5D54" w14:textId="77777777" w:rsidR="007F4F39" w:rsidRPr="004D4515" w:rsidRDefault="007F4F39" w:rsidP="00ED0A4C">
            <w:pPr>
              <w:spacing w:after="0" w:line="240" w:lineRule="auto"/>
              <w:rPr>
                <w:rFonts w:ascii="Times New Roman" w:eastAsia="Times New Roman" w:hAnsi="Times New Roman" w:cs="Times New Roman"/>
                <w:b/>
                <w:bCs/>
                <w:iCs/>
                <w:color w:val="auto"/>
                <w:sz w:val="24"/>
                <w:szCs w:val="24"/>
                <w:lang w:val="sv-SE" w:eastAsia="lv-LV"/>
              </w:rPr>
            </w:pPr>
            <w:r w:rsidRPr="004D4515">
              <w:rPr>
                <w:rFonts w:ascii="Times New Roman" w:eastAsia="Times New Roman" w:hAnsi="Times New Roman" w:cs="Times New Roman"/>
                <w:b/>
                <w:bCs/>
                <w:iCs/>
                <w:color w:val="auto"/>
                <w:sz w:val="24"/>
                <w:szCs w:val="24"/>
                <w:lang w:eastAsia="lv-LV"/>
              </w:rPr>
              <w:t>Tiesību akta projekta anotācijas kopsavilkums</w:t>
            </w:r>
          </w:p>
        </w:tc>
      </w:tr>
      <w:tr w:rsidR="007F4F39" w:rsidRPr="0064585B" w14:paraId="44306E01" w14:textId="77777777" w:rsidTr="00AF122C">
        <w:tc>
          <w:tcPr>
            <w:tcW w:w="3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3EF2CD5" w14:textId="37479816" w:rsidR="007F4F39" w:rsidRPr="0064585B" w:rsidRDefault="007F4F39" w:rsidP="00ED0A4C">
            <w:pPr>
              <w:spacing w:after="0" w:line="240" w:lineRule="auto"/>
              <w:rPr>
                <w:rFonts w:ascii="Times New Roman" w:eastAsia="Times New Roman" w:hAnsi="Times New Roman" w:cs="Times New Roman"/>
                <w:iCs/>
                <w:color w:val="auto"/>
                <w:sz w:val="24"/>
                <w:szCs w:val="24"/>
                <w:lang w:val="sv-SE" w:eastAsia="lv-LV"/>
              </w:rPr>
            </w:pPr>
            <w:r w:rsidRPr="0064585B">
              <w:rPr>
                <w:rFonts w:ascii="Times New Roman" w:eastAsia="Times New Roman" w:hAnsi="Times New Roman" w:cs="Times New Roman"/>
                <w:iCs/>
                <w:color w:val="auto"/>
                <w:sz w:val="24"/>
                <w:szCs w:val="24"/>
                <w:lang w:eastAsia="lv-LV"/>
              </w:rPr>
              <w:t xml:space="preserve">Mērķis, risinājums un projekta spēkā stāšanās laiks </w:t>
            </w:r>
          </w:p>
        </w:tc>
        <w:tc>
          <w:tcPr>
            <w:tcW w:w="55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997D6F3" w14:textId="3E0DC281" w:rsidR="007F4F39" w:rsidRDefault="007F4F39" w:rsidP="00ED0A4C">
            <w:pPr>
              <w:spacing w:after="0" w:line="240" w:lineRule="auto"/>
              <w:jc w:val="both"/>
              <w:rPr>
                <w:rFonts w:ascii="Times New Roman" w:eastAsia="SimSun" w:hAnsi="Times New Roman" w:cs="Mangal"/>
                <w:color w:val="auto"/>
                <w:kern w:val="3"/>
                <w:sz w:val="24"/>
                <w:szCs w:val="24"/>
                <w:lang w:eastAsia="zh-CN" w:bidi="hi-IN"/>
              </w:rPr>
            </w:pPr>
            <w:r w:rsidRPr="00B732C6">
              <w:rPr>
                <w:rFonts w:ascii="Times New Roman" w:eastAsia="Times New Roman" w:hAnsi="Times New Roman" w:cs="Times New Roman"/>
                <w:iCs/>
                <w:color w:val="auto"/>
                <w:sz w:val="24"/>
                <w:szCs w:val="24"/>
                <w:lang w:val="sv-SE" w:eastAsia="lv-LV"/>
              </w:rPr>
              <w:t>Ministru kabineta noteikumu projekt</w:t>
            </w:r>
            <w:r>
              <w:rPr>
                <w:rFonts w:ascii="Times New Roman" w:eastAsia="Times New Roman" w:hAnsi="Times New Roman" w:cs="Times New Roman"/>
                <w:iCs/>
                <w:color w:val="auto"/>
                <w:sz w:val="24"/>
                <w:szCs w:val="24"/>
                <w:lang w:val="sv-SE" w:eastAsia="lv-LV"/>
              </w:rPr>
              <w:t>s</w:t>
            </w:r>
            <w:r w:rsidRPr="00B732C6">
              <w:rPr>
                <w:rFonts w:ascii="Times New Roman" w:eastAsia="Times New Roman" w:hAnsi="Times New Roman" w:cs="Times New Roman"/>
                <w:iCs/>
                <w:color w:val="auto"/>
                <w:sz w:val="24"/>
                <w:szCs w:val="24"/>
                <w:lang w:val="sv-SE" w:eastAsia="lv-LV"/>
              </w:rPr>
              <w:t xml:space="preserve"> </w:t>
            </w:r>
            <w:r w:rsidR="002E5472">
              <w:rPr>
                <w:rFonts w:ascii="Times New Roman" w:eastAsia="Times New Roman" w:hAnsi="Times New Roman" w:cs="Times New Roman"/>
                <w:iCs/>
                <w:color w:val="auto"/>
                <w:sz w:val="24"/>
                <w:szCs w:val="24"/>
                <w:lang w:val="sv-SE" w:eastAsia="lv-LV"/>
              </w:rPr>
              <w:t>"</w:t>
            </w:r>
            <w:r w:rsidRPr="00B732C6">
              <w:rPr>
                <w:rFonts w:ascii="Times New Roman" w:eastAsia="Times New Roman" w:hAnsi="Times New Roman" w:cs="Times New Roman"/>
                <w:iCs/>
                <w:color w:val="auto"/>
                <w:sz w:val="24"/>
                <w:szCs w:val="24"/>
                <w:lang w:val="sv-SE" w:eastAsia="lv-LV"/>
              </w:rPr>
              <w:t>Politiskajām organizācijām (partijām) piešķirtā valsts budžeta finansējuma izlietojuma noteikumi</w:t>
            </w:r>
            <w:r w:rsidR="002E5472">
              <w:rPr>
                <w:rFonts w:ascii="Times New Roman" w:eastAsia="Times New Roman" w:hAnsi="Times New Roman" w:cs="Times New Roman"/>
                <w:iCs/>
                <w:color w:val="auto"/>
                <w:sz w:val="24"/>
                <w:szCs w:val="24"/>
                <w:lang w:val="sv-SE" w:eastAsia="lv-LV"/>
              </w:rPr>
              <w:t>"</w:t>
            </w:r>
            <w:r w:rsidRPr="00B732C6">
              <w:rPr>
                <w:rFonts w:ascii="Times New Roman" w:eastAsia="Times New Roman" w:hAnsi="Times New Roman" w:cs="Times New Roman"/>
                <w:iCs/>
                <w:color w:val="auto"/>
                <w:sz w:val="24"/>
                <w:szCs w:val="24"/>
                <w:lang w:val="sv-SE" w:eastAsia="lv-LV"/>
              </w:rPr>
              <w:t xml:space="preserve"> </w:t>
            </w:r>
            <w:r>
              <w:rPr>
                <w:rFonts w:ascii="Times New Roman" w:eastAsia="Times New Roman" w:hAnsi="Times New Roman" w:cs="Times New Roman"/>
                <w:iCs/>
                <w:color w:val="auto"/>
                <w:sz w:val="24"/>
                <w:szCs w:val="24"/>
                <w:lang w:val="sv-SE" w:eastAsia="lv-LV"/>
              </w:rPr>
              <w:t xml:space="preserve">(turpmāk – Projekts) </w:t>
            </w:r>
            <w:r w:rsidRPr="00B732C6">
              <w:rPr>
                <w:rFonts w:ascii="Times New Roman" w:eastAsia="SimSun" w:hAnsi="Times New Roman" w:cs="Mangal"/>
                <w:color w:val="auto"/>
                <w:kern w:val="3"/>
                <w:sz w:val="24"/>
                <w:szCs w:val="24"/>
                <w:lang w:eastAsia="zh-CN" w:bidi="hi-IN"/>
              </w:rPr>
              <w:t>nosak</w:t>
            </w:r>
            <w:r>
              <w:rPr>
                <w:rFonts w:ascii="Times New Roman" w:eastAsia="SimSun" w:hAnsi="Times New Roman" w:cs="Mangal"/>
                <w:color w:val="auto"/>
                <w:kern w:val="3"/>
                <w:sz w:val="24"/>
                <w:szCs w:val="24"/>
                <w:lang w:eastAsia="zh-CN" w:bidi="hi-IN"/>
              </w:rPr>
              <w:t>a</w:t>
            </w:r>
            <w:r w:rsidRPr="00B732C6">
              <w:rPr>
                <w:rFonts w:ascii="Times New Roman" w:eastAsia="SimSun" w:hAnsi="Times New Roman" w:cs="Mangal"/>
                <w:color w:val="auto"/>
                <w:kern w:val="3"/>
                <w:sz w:val="24"/>
                <w:szCs w:val="24"/>
                <w:lang w:eastAsia="zh-CN" w:bidi="hi-IN"/>
              </w:rPr>
              <w:t xml:space="preserve"> politiskajām organizācijām (partijām) </w:t>
            </w:r>
            <w:r w:rsidR="00044967">
              <w:rPr>
                <w:rFonts w:ascii="Times New Roman" w:eastAsia="SimSun" w:hAnsi="Times New Roman" w:cs="Mangal"/>
                <w:color w:val="auto"/>
                <w:kern w:val="3"/>
                <w:sz w:val="24"/>
                <w:szCs w:val="24"/>
                <w:lang w:eastAsia="zh-CN" w:bidi="hi-IN"/>
              </w:rPr>
              <w:t xml:space="preserve">un to apvienībām </w:t>
            </w:r>
            <w:r w:rsidRPr="00B732C6">
              <w:rPr>
                <w:rFonts w:ascii="Times New Roman" w:eastAsia="SimSun" w:hAnsi="Times New Roman" w:cs="Mangal"/>
                <w:color w:val="auto"/>
                <w:kern w:val="3"/>
                <w:sz w:val="24"/>
                <w:szCs w:val="24"/>
                <w:lang w:eastAsia="zh-CN" w:bidi="hi-IN"/>
              </w:rPr>
              <w:t>piešķirtā valsts budžeta finansējuma izlietojuma mērķu grupu veidus un pieļaujamos izdevumus</w:t>
            </w:r>
            <w:r w:rsidR="002D1BB1">
              <w:rPr>
                <w:rFonts w:ascii="Times New Roman" w:eastAsia="SimSun" w:hAnsi="Times New Roman" w:cs="Mangal"/>
                <w:color w:val="auto"/>
                <w:kern w:val="3"/>
                <w:sz w:val="24"/>
                <w:szCs w:val="24"/>
                <w:lang w:eastAsia="zh-CN" w:bidi="hi-IN"/>
              </w:rPr>
              <w:t xml:space="preserve">, </w:t>
            </w:r>
            <w:r w:rsidR="002D1BB1" w:rsidRPr="002D1BB1">
              <w:rPr>
                <w:rFonts w:ascii="Times New Roman" w:eastAsia="SimSun" w:hAnsi="Times New Roman" w:cs="Mangal"/>
                <w:color w:val="auto"/>
                <w:kern w:val="3"/>
                <w:sz w:val="24"/>
                <w:szCs w:val="24"/>
                <w:lang w:eastAsia="zh-CN" w:bidi="hi-IN"/>
              </w:rPr>
              <w:t xml:space="preserve">kā arī </w:t>
            </w:r>
            <w:r w:rsidR="002D1BB1" w:rsidRPr="002D1BB1">
              <w:rPr>
                <w:rFonts w:ascii="Times New Roman" w:hAnsi="Times New Roman" w:cs="Times New Roman"/>
                <w:sz w:val="24"/>
                <w:szCs w:val="24"/>
              </w:rPr>
              <w:t>v</w:t>
            </w:r>
            <w:r w:rsidR="002D1BB1" w:rsidRPr="002D1BB1">
              <w:rPr>
                <w:rFonts w:ascii="Times New Roman" w:hAnsi="Times New Roman" w:cs="Times New Roman" w:hint="eastAsia"/>
                <w:sz w:val="24"/>
                <w:szCs w:val="24"/>
              </w:rPr>
              <w:t>alsts bud</w:t>
            </w:r>
            <w:r w:rsidR="002D1BB1" w:rsidRPr="002D1BB1">
              <w:rPr>
                <w:rFonts w:ascii="Cambria" w:hAnsi="Cambria" w:cs="Cambria"/>
                <w:sz w:val="24"/>
                <w:szCs w:val="24"/>
              </w:rPr>
              <w:t>ž</w:t>
            </w:r>
            <w:r w:rsidR="002D1BB1" w:rsidRPr="002D1BB1">
              <w:rPr>
                <w:rFonts w:ascii="Times New Roman" w:hAnsi="Times New Roman" w:cs="Times New Roman" w:hint="eastAsia"/>
                <w:sz w:val="24"/>
                <w:szCs w:val="24"/>
              </w:rPr>
              <w:t>eta finan</w:t>
            </w:r>
            <w:r w:rsidR="002D1BB1" w:rsidRPr="002D1BB1">
              <w:rPr>
                <w:rFonts w:ascii="Times New Roman" w:hAnsi="Times New Roman" w:cs="Times New Roman"/>
                <w:sz w:val="24"/>
                <w:szCs w:val="24"/>
              </w:rPr>
              <w:t>sē</w:t>
            </w:r>
            <w:r w:rsidR="002D1BB1" w:rsidRPr="002D1BB1">
              <w:rPr>
                <w:rFonts w:ascii="Times New Roman" w:hAnsi="Times New Roman" w:cs="Times New Roman" w:hint="eastAsia"/>
                <w:sz w:val="24"/>
                <w:szCs w:val="24"/>
              </w:rPr>
              <w:t>juma iz</w:t>
            </w:r>
            <w:r w:rsidR="001C0117">
              <w:rPr>
                <w:rFonts w:ascii="Times New Roman" w:hAnsi="Times New Roman" w:cs="Times New Roman"/>
                <w:sz w:val="24"/>
                <w:szCs w:val="24"/>
              </w:rPr>
              <w:t xml:space="preserve">lietošanas </w:t>
            </w:r>
            <w:r w:rsidR="002D1BB1" w:rsidRPr="002D1BB1">
              <w:rPr>
                <w:rFonts w:ascii="Times New Roman" w:hAnsi="Times New Roman" w:cs="Times New Roman" w:hint="eastAsia"/>
                <w:sz w:val="24"/>
                <w:szCs w:val="24"/>
              </w:rPr>
              <w:t xml:space="preserve"> pamatojuma dokumentu iesnie</w:t>
            </w:r>
            <w:r w:rsidR="002D1BB1" w:rsidRPr="002D1BB1">
              <w:rPr>
                <w:rFonts w:ascii="Times New Roman" w:hAnsi="Times New Roman" w:cs="Times New Roman"/>
                <w:sz w:val="24"/>
                <w:szCs w:val="24"/>
              </w:rPr>
              <w:t>gšanu Korupcijas novēršanas un apkarošanas birojā</w:t>
            </w:r>
            <w:r w:rsidR="001C0117">
              <w:rPr>
                <w:rFonts w:ascii="Times New Roman" w:hAnsi="Times New Roman" w:cs="Times New Roman"/>
                <w:sz w:val="24"/>
                <w:szCs w:val="24"/>
              </w:rPr>
              <w:t>.</w:t>
            </w:r>
          </w:p>
          <w:p w14:paraId="111DED97" w14:textId="77777777" w:rsidR="007F4F39" w:rsidRPr="00B732C6" w:rsidRDefault="007F4F39" w:rsidP="00ED0A4C">
            <w:pPr>
              <w:spacing w:after="0" w:line="240" w:lineRule="auto"/>
              <w:jc w:val="both"/>
              <w:rPr>
                <w:rFonts w:cs="Times New Roman"/>
                <w:iCs/>
                <w:color w:val="auto"/>
                <w:sz w:val="24"/>
                <w:szCs w:val="24"/>
              </w:rPr>
            </w:pPr>
            <w:r>
              <w:rPr>
                <w:rFonts w:ascii="Times New Roman" w:eastAsia="SimSun" w:hAnsi="Times New Roman" w:cs="Mangal"/>
                <w:color w:val="auto"/>
                <w:kern w:val="3"/>
                <w:sz w:val="24"/>
                <w:szCs w:val="24"/>
                <w:lang w:eastAsia="zh-CN" w:bidi="hi-IN"/>
              </w:rPr>
              <w:t>Projekts stāsies spēkā 2020. gada 15. janvārī.</w:t>
            </w:r>
          </w:p>
        </w:tc>
      </w:tr>
    </w:tbl>
    <w:p w14:paraId="713CE85B" w14:textId="2FE2521C" w:rsidR="00D93A15" w:rsidRPr="007F4F39" w:rsidRDefault="00D93A15">
      <w:pPr>
        <w:spacing w:after="0" w:line="240" w:lineRule="auto"/>
        <w:rPr>
          <w:rFonts w:ascii="Times New Roman" w:eastAsia="Times New Roman" w:hAnsi="Times New Roman" w:cs="Times New Roman"/>
          <w:iCs/>
          <w:color w:val="auto"/>
          <w:sz w:val="24"/>
          <w:szCs w:val="24"/>
          <w:lang w:eastAsia="lv-LV"/>
        </w:rPr>
      </w:pPr>
    </w:p>
    <w:p w14:paraId="1874B798" w14:textId="77777777" w:rsidR="007F4F39" w:rsidRPr="0064585B" w:rsidRDefault="007F4F39">
      <w:pPr>
        <w:spacing w:after="0" w:line="240" w:lineRule="auto"/>
        <w:rPr>
          <w:rFonts w:ascii="Times New Roman" w:eastAsia="Times New Roman" w:hAnsi="Times New Roman" w:cs="Times New Roman"/>
          <w:iCs/>
          <w:color w:val="auto"/>
          <w:sz w:val="24"/>
          <w:szCs w:val="24"/>
          <w:lang w:val="sv-SE" w:eastAsia="lv-LV"/>
        </w:rPr>
      </w:pPr>
    </w:p>
    <w:tbl>
      <w:tblPr>
        <w:tblW w:w="5009"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452"/>
        <w:gridCol w:w="1958"/>
        <w:gridCol w:w="6661"/>
      </w:tblGrid>
      <w:tr w:rsidR="0064585B" w:rsidRPr="0064585B" w14:paraId="5E97ABF4" w14:textId="77777777" w:rsidTr="00E0068F">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8AAE172" w14:textId="77777777" w:rsidR="00D93A15" w:rsidRPr="0064585B" w:rsidRDefault="00CD56A5" w:rsidP="00235E8B">
            <w:pPr>
              <w:spacing w:after="0" w:line="240" w:lineRule="auto"/>
              <w:jc w:val="center"/>
              <w:rPr>
                <w:rFonts w:ascii="Times New Roman" w:eastAsia="Times New Roman" w:hAnsi="Times New Roman" w:cs="Times New Roman"/>
                <w:b/>
                <w:bCs/>
                <w:iCs/>
                <w:color w:val="auto"/>
                <w:sz w:val="24"/>
                <w:szCs w:val="24"/>
                <w:lang w:val="sv-SE" w:eastAsia="lv-LV"/>
              </w:rPr>
            </w:pPr>
            <w:r w:rsidRPr="0064585B">
              <w:rPr>
                <w:rFonts w:ascii="Times New Roman" w:eastAsia="Times New Roman" w:hAnsi="Times New Roman" w:cs="Times New Roman"/>
                <w:b/>
                <w:bCs/>
                <w:iCs/>
                <w:color w:val="auto"/>
                <w:sz w:val="24"/>
                <w:szCs w:val="24"/>
                <w:lang w:eastAsia="lv-LV"/>
              </w:rPr>
              <w:t>I. Tiesību akta projekta izstrādes nepieciešamība</w:t>
            </w:r>
          </w:p>
        </w:tc>
      </w:tr>
      <w:tr w:rsidR="0064585B" w:rsidRPr="0064585B" w14:paraId="0695992A" w14:textId="77777777" w:rsidTr="00E0068F">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468B0B1" w14:textId="77777777" w:rsidR="00D93A15"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1.</w:t>
            </w:r>
          </w:p>
          <w:p w14:paraId="5D416F19" w14:textId="77777777" w:rsidR="00363CD3" w:rsidRPr="00363CD3" w:rsidRDefault="00363CD3" w:rsidP="00363CD3">
            <w:pPr>
              <w:rPr>
                <w:rFonts w:ascii="Times New Roman" w:eastAsia="Times New Roman" w:hAnsi="Times New Roman" w:cs="Times New Roman"/>
                <w:sz w:val="24"/>
                <w:szCs w:val="24"/>
                <w:lang w:val="en-US" w:eastAsia="lv-LV"/>
              </w:rPr>
            </w:pPr>
          </w:p>
          <w:p w14:paraId="42002D0A" w14:textId="77777777" w:rsidR="00363CD3" w:rsidRPr="00363CD3" w:rsidRDefault="00363CD3" w:rsidP="00363CD3">
            <w:pPr>
              <w:rPr>
                <w:rFonts w:ascii="Times New Roman" w:eastAsia="Times New Roman" w:hAnsi="Times New Roman" w:cs="Times New Roman"/>
                <w:sz w:val="24"/>
                <w:szCs w:val="24"/>
                <w:lang w:val="en-US" w:eastAsia="lv-LV"/>
              </w:rPr>
            </w:pPr>
          </w:p>
          <w:p w14:paraId="7BAC8BCD" w14:textId="4C2673BB" w:rsidR="00363CD3" w:rsidRPr="00363CD3" w:rsidRDefault="00363CD3" w:rsidP="00363CD3">
            <w:pPr>
              <w:rPr>
                <w:rFonts w:ascii="Times New Roman" w:eastAsia="Times New Roman" w:hAnsi="Times New Roman" w:cs="Times New Roman"/>
                <w:sz w:val="24"/>
                <w:szCs w:val="24"/>
                <w:lang w:val="en-US" w:eastAsia="lv-LV"/>
              </w:rPr>
            </w:pPr>
          </w:p>
        </w:tc>
        <w:tc>
          <w:tcPr>
            <w:tcW w:w="1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57C2159" w14:textId="01A210CB" w:rsidR="00E0068F" w:rsidRPr="00E0068F" w:rsidRDefault="00CD56A5" w:rsidP="00E0068F">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Pamatojums</w:t>
            </w:r>
          </w:p>
        </w:tc>
        <w:tc>
          <w:tcPr>
            <w:tcW w:w="66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6182023" w14:textId="3B174D25" w:rsidR="00E0068F" w:rsidRPr="00E0068F" w:rsidRDefault="00056BB8" w:rsidP="00AF122C">
            <w:pPr>
              <w:spacing w:after="0" w:line="240" w:lineRule="auto"/>
              <w:jc w:val="both"/>
              <w:rPr>
                <w:rFonts w:ascii="Times New Roman" w:hAnsi="Times New Roman" w:cs="Times New Roman"/>
                <w:sz w:val="24"/>
                <w:szCs w:val="24"/>
                <w:lang w:eastAsia="lv-LV"/>
              </w:rPr>
            </w:pPr>
            <w:r w:rsidRPr="00056BB8">
              <w:rPr>
                <w:rFonts w:ascii="Times New Roman" w:hAnsi="Times New Roman" w:cs="Times New Roman"/>
                <w:color w:val="auto"/>
                <w:sz w:val="24"/>
                <w:szCs w:val="24"/>
                <w:lang w:eastAsia="lv-LV"/>
              </w:rPr>
              <w:t>2019.</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14.</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novembrī Saeima 2.</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lasījumā (galīgajā) pieņēma grozījumus Politisko organizāciju (partiju)</w:t>
            </w:r>
            <w:r w:rsidR="00A82058">
              <w:rPr>
                <w:rFonts w:ascii="Times New Roman" w:hAnsi="Times New Roman" w:cs="Times New Roman"/>
                <w:color w:val="auto"/>
                <w:sz w:val="24"/>
                <w:szCs w:val="24"/>
                <w:lang w:eastAsia="lv-LV"/>
              </w:rPr>
              <w:t xml:space="preserve"> finansēšanas</w:t>
            </w:r>
            <w:r w:rsidRPr="00056BB8">
              <w:rPr>
                <w:rFonts w:ascii="Times New Roman" w:hAnsi="Times New Roman" w:cs="Times New Roman"/>
                <w:color w:val="auto"/>
                <w:sz w:val="24"/>
                <w:szCs w:val="24"/>
                <w:lang w:eastAsia="lv-LV"/>
              </w:rPr>
              <w:t xml:space="preserve"> likumā (turpmāk – Likum</w:t>
            </w:r>
            <w:r w:rsidR="00D0629A">
              <w:rPr>
                <w:rFonts w:ascii="Times New Roman" w:hAnsi="Times New Roman" w:cs="Times New Roman"/>
                <w:color w:val="auto"/>
                <w:sz w:val="24"/>
                <w:szCs w:val="24"/>
                <w:lang w:eastAsia="lv-LV"/>
              </w:rPr>
              <w:t>a grozījumi</w:t>
            </w:r>
            <w:r w:rsidRPr="00056BB8">
              <w:rPr>
                <w:rFonts w:ascii="Times New Roman" w:hAnsi="Times New Roman" w:cs="Times New Roman"/>
                <w:color w:val="auto"/>
                <w:sz w:val="24"/>
                <w:szCs w:val="24"/>
                <w:lang w:eastAsia="lv-LV"/>
              </w:rPr>
              <w:t>), kas stā</w:t>
            </w:r>
            <w:r>
              <w:rPr>
                <w:rFonts w:ascii="Times New Roman" w:hAnsi="Times New Roman" w:cs="Times New Roman"/>
                <w:color w:val="auto"/>
                <w:sz w:val="24"/>
                <w:szCs w:val="24"/>
                <w:lang w:eastAsia="lv-LV"/>
              </w:rPr>
              <w:t>jas</w:t>
            </w:r>
            <w:r w:rsidRPr="00056BB8">
              <w:rPr>
                <w:rFonts w:ascii="Times New Roman" w:hAnsi="Times New Roman" w:cs="Times New Roman"/>
                <w:color w:val="auto"/>
                <w:sz w:val="24"/>
                <w:szCs w:val="24"/>
                <w:lang w:eastAsia="lv-LV"/>
              </w:rPr>
              <w:t xml:space="preserve"> spēkā 2020.</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 xml:space="preserve">janvārī. Minētie grozījumi citastarp </w:t>
            </w:r>
            <w:r w:rsidR="00044967">
              <w:rPr>
                <w:rFonts w:ascii="Times New Roman" w:hAnsi="Times New Roman" w:cs="Times New Roman"/>
                <w:color w:val="auto"/>
                <w:sz w:val="24"/>
                <w:szCs w:val="24"/>
                <w:lang w:eastAsia="lv-LV"/>
              </w:rPr>
              <w:t xml:space="preserve">Politisko organizāciju (partiju) finansēšanas likuma (turpmāk – </w:t>
            </w:r>
            <w:r w:rsidRPr="00056BB8">
              <w:rPr>
                <w:rFonts w:ascii="Times New Roman" w:hAnsi="Times New Roman" w:cs="Times New Roman"/>
                <w:color w:val="auto"/>
                <w:sz w:val="24"/>
                <w:szCs w:val="24"/>
                <w:lang w:eastAsia="lv-LV"/>
              </w:rPr>
              <w:t>Likum</w:t>
            </w:r>
            <w:r w:rsidR="00044967">
              <w:rPr>
                <w:rFonts w:ascii="Times New Roman" w:hAnsi="Times New Roman" w:cs="Times New Roman"/>
                <w:color w:val="auto"/>
                <w:sz w:val="24"/>
                <w:szCs w:val="24"/>
                <w:lang w:eastAsia="lv-LV"/>
              </w:rPr>
              <w:t>s)</w:t>
            </w:r>
            <w:r w:rsidRPr="00056BB8">
              <w:rPr>
                <w:rFonts w:ascii="Times New Roman" w:hAnsi="Times New Roman" w:cs="Times New Roman"/>
                <w:color w:val="auto"/>
                <w:sz w:val="24"/>
                <w:szCs w:val="24"/>
                <w:lang w:eastAsia="lv-LV"/>
              </w:rPr>
              <w:t xml:space="preserve"> 7.</w:t>
            </w:r>
            <w:r w:rsidRPr="00056BB8">
              <w:rPr>
                <w:rFonts w:ascii="Times New Roman" w:hAnsi="Times New Roman" w:cs="Times New Roman"/>
                <w:color w:val="auto"/>
                <w:sz w:val="24"/>
                <w:szCs w:val="24"/>
                <w:vertAlign w:val="superscript"/>
                <w:lang w:eastAsia="lv-LV"/>
              </w:rPr>
              <w:t>4</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panta 1.</w:t>
            </w:r>
            <w:r w:rsidRPr="00056BB8">
              <w:rPr>
                <w:rFonts w:ascii="Times New Roman" w:hAnsi="Times New Roman" w:cs="Times New Roman"/>
                <w:color w:val="auto"/>
                <w:sz w:val="24"/>
                <w:szCs w:val="24"/>
                <w:vertAlign w:val="superscript"/>
                <w:lang w:eastAsia="lv-LV"/>
              </w:rPr>
              <w:t>1</w:t>
            </w:r>
            <w:r w:rsidR="00283E48">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 xml:space="preserve">daļā paredz Ministru kabinetam deleģējumu izdot noteikumus, kuros nosaka valsts budžeta finansējuma izlietojuma mērķu grupu veidus un pieļaujamos izdevumus. </w:t>
            </w:r>
            <w:r w:rsidR="00AC4AC7">
              <w:rPr>
                <w:rFonts w:ascii="Times New Roman" w:hAnsi="Times New Roman" w:cs="Times New Roman"/>
                <w:color w:val="auto"/>
                <w:sz w:val="24"/>
                <w:szCs w:val="24"/>
                <w:lang w:eastAsia="lv-LV"/>
              </w:rPr>
              <w:t>N</w:t>
            </w:r>
            <w:r w:rsidRPr="00056BB8">
              <w:rPr>
                <w:rFonts w:ascii="Times New Roman" w:hAnsi="Times New Roman" w:cs="Times New Roman"/>
                <w:color w:val="auto"/>
                <w:sz w:val="24"/>
                <w:szCs w:val="24"/>
                <w:lang w:eastAsia="lv-LV"/>
              </w:rPr>
              <w:t>oteikumu izdošanas termiņš ir 2020.</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15.</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 xml:space="preserve">janvāris. </w:t>
            </w:r>
            <w:r w:rsidR="002D1BB1">
              <w:rPr>
                <w:rFonts w:ascii="Times New Roman" w:hAnsi="Times New Roman" w:cs="Times New Roman"/>
                <w:color w:val="auto"/>
                <w:sz w:val="24"/>
                <w:szCs w:val="24"/>
                <w:lang w:eastAsia="lv-LV"/>
              </w:rPr>
              <w:t xml:space="preserve">Savukārt </w:t>
            </w:r>
            <w:r w:rsidR="002D1BB1" w:rsidRPr="00056BB8">
              <w:rPr>
                <w:rFonts w:ascii="Times New Roman" w:hAnsi="Times New Roman" w:cs="Times New Roman"/>
                <w:color w:val="auto"/>
                <w:sz w:val="24"/>
                <w:szCs w:val="24"/>
                <w:lang w:eastAsia="lv-LV"/>
              </w:rPr>
              <w:t>7.</w:t>
            </w:r>
            <w:r w:rsidR="002D1BB1" w:rsidRPr="00056BB8">
              <w:rPr>
                <w:rFonts w:ascii="Times New Roman" w:hAnsi="Times New Roman" w:cs="Times New Roman"/>
                <w:color w:val="auto"/>
                <w:sz w:val="24"/>
                <w:szCs w:val="24"/>
                <w:vertAlign w:val="superscript"/>
                <w:lang w:eastAsia="lv-LV"/>
              </w:rPr>
              <w:t>4</w:t>
            </w:r>
            <w:r w:rsidR="002D1BB1">
              <w:rPr>
                <w:rFonts w:ascii="Times New Roman" w:hAnsi="Times New Roman" w:cs="Times New Roman"/>
                <w:color w:val="auto"/>
                <w:sz w:val="24"/>
                <w:szCs w:val="24"/>
                <w:lang w:eastAsia="lv-LV"/>
              </w:rPr>
              <w:t> </w:t>
            </w:r>
            <w:r w:rsidR="002D1BB1" w:rsidRPr="00056BB8">
              <w:rPr>
                <w:rFonts w:ascii="Times New Roman" w:hAnsi="Times New Roman" w:cs="Times New Roman"/>
                <w:color w:val="auto"/>
                <w:sz w:val="24"/>
                <w:szCs w:val="24"/>
                <w:lang w:eastAsia="lv-LV"/>
              </w:rPr>
              <w:t xml:space="preserve">panta </w:t>
            </w:r>
            <w:r w:rsidR="002D1BB1">
              <w:rPr>
                <w:rFonts w:ascii="Times New Roman" w:hAnsi="Times New Roman" w:cs="Times New Roman"/>
                <w:color w:val="auto"/>
                <w:sz w:val="24"/>
                <w:szCs w:val="24"/>
                <w:lang w:eastAsia="lv-LV"/>
              </w:rPr>
              <w:t xml:space="preserve">trešā </w:t>
            </w:r>
            <w:r w:rsidR="002D1BB1" w:rsidRPr="00056BB8">
              <w:rPr>
                <w:rFonts w:ascii="Times New Roman" w:hAnsi="Times New Roman" w:cs="Times New Roman"/>
                <w:color w:val="auto"/>
                <w:sz w:val="24"/>
                <w:szCs w:val="24"/>
                <w:lang w:eastAsia="lv-LV"/>
              </w:rPr>
              <w:t>daļ</w:t>
            </w:r>
            <w:r w:rsidR="002D1BB1">
              <w:rPr>
                <w:rFonts w:ascii="Times New Roman" w:hAnsi="Times New Roman" w:cs="Times New Roman"/>
                <w:color w:val="auto"/>
                <w:sz w:val="24"/>
                <w:szCs w:val="24"/>
                <w:lang w:eastAsia="lv-LV"/>
              </w:rPr>
              <w:t xml:space="preserve">a paredz Ministru kabinetam deleģējumu izdot noteikumus par to, kā Korupcijas novēršanas un apkarošanas birojā tiek iesniegti valsts budžeta finansējuma izlietošanas pamatojuma dokumenti. Noteikumu izdošanas termiņš ir 2020. gada 29. februāris. </w:t>
            </w:r>
          </w:p>
        </w:tc>
      </w:tr>
      <w:tr w:rsidR="0064585B" w:rsidRPr="0064585B" w14:paraId="72C21DC9" w14:textId="77777777" w:rsidTr="00E0068F">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4218772"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2.</w:t>
            </w:r>
          </w:p>
        </w:tc>
        <w:tc>
          <w:tcPr>
            <w:tcW w:w="1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16E979D" w14:textId="77777777" w:rsidR="00D93A15"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Pašreizējā situācija un problēmas, kuru risināšanai tiesību akta projekts izstrādāts, tiesiskā regulējuma mērķis un būtība</w:t>
            </w:r>
          </w:p>
          <w:p w14:paraId="42A7DAD8" w14:textId="77777777" w:rsidR="00AD5EA1" w:rsidRDefault="00AD5EA1" w:rsidP="00AD5EA1">
            <w:pPr>
              <w:jc w:val="center"/>
              <w:rPr>
                <w:rFonts w:ascii="Times New Roman" w:eastAsia="Times New Roman" w:hAnsi="Times New Roman" w:cs="Times New Roman"/>
                <w:sz w:val="24"/>
                <w:szCs w:val="24"/>
                <w:lang w:val="en-US" w:eastAsia="lv-LV"/>
              </w:rPr>
            </w:pPr>
          </w:p>
          <w:p w14:paraId="1897EA1D" w14:textId="77777777" w:rsidR="009F0CA3" w:rsidRPr="009F0CA3" w:rsidRDefault="009F0CA3" w:rsidP="00C66B78">
            <w:pPr>
              <w:rPr>
                <w:rFonts w:ascii="Times New Roman" w:eastAsia="Times New Roman" w:hAnsi="Times New Roman" w:cs="Times New Roman"/>
                <w:sz w:val="24"/>
                <w:szCs w:val="24"/>
                <w:lang w:val="en-US" w:eastAsia="lv-LV"/>
              </w:rPr>
            </w:pPr>
          </w:p>
          <w:p w14:paraId="0981A78D" w14:textId="77777777" w:rsidR="009F0CA3" w:rsidRPr="009F0CA3" w:rsidRDefault="009F0CA3" w:rsidP="00C66B78">
            <w:pPr>
              <w:rPr>
                <w:rFonts w:ascii="Times New Roman" w:eastAsia="Times New Roman" w:hAnsi="Times New Roman" w:cs="Times New Roman"/>
                <w:sz w:val="24"/>
                <w:szCs w:val="24"/>
                <w:lang w:val="en-US" w:eastAsia="lv-LV"/>
              </w:rPr>
            </w:pPr>
          </w:p>
          <w:p w14:paraId="4695E9F4" w14:textId="77777777" w:rsidR="009F0CA3" w:rsidRPr="009F0CA3" w:rsidRDefault="009F0CA3" w:rsidP="00C66B78">
            <w:pPr>
              <w:rPr>
                <w:rFonts w:ascii="Times New Roman" w:eastAsia="Times New Roman" w:hAnsi="Times New Roman" w:cs="Times New Roman"/>
                <w:sz w:val="24"/>
                <w:szCs w:val="24"/>
                <w:lang w:val="en-US" w:eastAsia="lv-LV"/>
              </w:rPr>
            </w:pPr>
          </w:p>
          <w:p w14:paraId="4325A0BC" w14:textId="77777777" w:rsidR="009F0CA3" w:rsidRPr="009F0CA3" w:rsidRDefault="009F0CA3" w:rsidP="00C66B78">
            <w:pPr>
              <w:rPr>
                <w:rFonts w:ascii="Times New Roman" w:eastAsia="Times New Roman" w:hAnsi="Times New Roman" w:cs="Times New Roman"/>
                <w:sz w:val="24"/>
                <w:szCs w:val="24"/>
                <w:lang w:val="en-US" w:eastAsia="lv-LV"/>
              </w:rPr>
            </w:pPr>
          </w:p>
          <w:p w14:paraId="6CC4CC96" w14:textId="77777777" w:rsidR="009F0CA3" w:rsidRPr="009F0CA3" w:rsidRDefault="009F0CA3" w:rsidP="00C66B78">
            <w:pPr>
              <w:rPr>
                <w:rFonts w:ascii="Times New Roman" w:eastAsia="Times New Roman" w:hAnsi="Times New Roman" w:cs="Times New Roman"/>
                <w:sz w:val="24"/>
                <w:szCs w:val="24"/>
                <w:lang w:val="en-US" w:eastAsia="lv-LV"/>
              </w:rPr>
            </w:pPr>
          </w:p>
          <w:p w14:paraId="1C30AB7D" w14:textId="77777777" w:rsidR="009F0CA3" w:rsidRPr="009F0CA3" w:rsidRDefault="009F0CA3" w:rsidP="00C66B78">
            <w:pPr>
              <w:rPr>
                <w:rFonts w:ascii="Times New Roman" w:eastAsia="Times New Roman" w:hAnsi="Times New Roman" w:cs="Times New Roman"/>
                <w:sz w:val="24"/>
                <w:szCs w:val="24"/>
                <w:lang w:val="en-US" w:eastAsia="lv-LV"/>
              </w:rPr>
            </w:pPr>
          </w:p>
          <w:p w14:paraId="46F29D29" w14:textId="77777777" w:rsidR="009F0CA3" w:rsidRPr="009F0CA3" w:rsidRDefault="009F0CA3" w:rsidP="00C66B78">
            <w:pPr>
              <w:rPr>
                <w:rFonts w:ascii="Times New Roman" w:eastAsia="Times New Roman" w:hAnsi="Times New Roman" w:cs="Times New Roman"/>
                <w:sz w:val="24"/>
                <w:szCs w:val="24"/>
                <w:lang w:val="en-US" w:eastAsia="lv-LV"/>
              </w:rPr>
            </w:pPr>
          </w:p>
          <w:p w14:paraId="387CE538" w14:textId="77777777" w:rsidR="009F0CA3" w:rsidRPr="009F0CA3" w:rsidRDefault="009F0CA3" w:rsidP="00C66B78">
            <w:pPr>
              <w:rPr>
                <w:rFonts w:ascii="Times New Roman" w:eastAsia="Times New Roman" w:hAnsi="Times New Roman" w:cs="Times New Roman"/>
                <w:sz w:val="24"/>
                <w:szCs w:val="24"/>
                <w:lang w:val="en-US" w:eastAsia="lv-LV"/>
              </w:rPr>
            </w:pPr>
          </w:p>
          <w:p w14:paraId="02655828" w14:textId="77777777" w:rsidR="009F0CA3" w:rsidRPr="009F0CA3" w:rsidRDefault="009F0CA3" w:rsidP="00C66B78">
            <w:pPr>
              <w:rPr>
                <w:rFonts w:ascii="Times New Roman" w:eastAsia="Times New Roman" w:hAnsi="Times New Roman" w:cs="Times New Roman"/>
                <w:sz w:val="24"/>
                <w:szCs w:val="24"/>
                <w:lang w:val="en-US" w:eastAsia="lv-LV"/>
              </w:rPr>
            </w:pPr>
          </w:p>
          <w:p w14:paraId="12A2C258" w14:textId="77777777" w:rsidR="009F0CA3" w:rsidRPr="009F0CA3" w:rsidRDefault="009F0CA3" w:rsidP="00C66B78">
            <w:pPr>
              <w:rPr>
                <w:rFonts w:ascii="Times New Roman" w:eastAsia="Times New Roman" w:hAnsi="Times New Roman" w:cs="Times New Roman"/>
                <w:sz w:val="24"/>
                <w:szCs w:val="24"/>
                <w:lang w:val="en-US" w:eastAsia="lv-LV"/>
              </w:rPr>
            </w:pPr>
          </w:p>
          <w:p w14:paraId="556086EB" w14:textId="77777777" w:rsidR="009F0CA3" w:rsidRPr="009F0CA3" w:rsidRDefault="009F0CA3" w:rsidP="00C66B78">
            <w:pPr>
              <w:rPr>
                <w:rFonts w:ascii="Times New Roman" w:eastAsia="Times New Roman" w:hAnsi="Times New Roman" w:cs="Times New Roman"/>
                <w:sz w:val="24"/>
                <w:szCs w:val="24"/>
                <w:lang w:val="en-US" w:eastAsia="lv-LV"/>
              </w:rPr>
            </w:pPr>
          </w:p>
          <w:p w14:paraId="0555FA2F" w14:textId="09066515" w:rsidR="009F0CA3" w:rsidRPr="009F0CA3" w:rsidRDefault="009F0CA3" w:rsidP="00C66B78">
            <w:pPr>
              <w:rPr>
                <w:rFonts w:ascii="Times New Roman" w:eastAsia="Times New Roman" w:hAnsi="Times New Roman" w:cs="Times New Roman"/>
                <w:sz w:val="24"/>
                <w:szCs w:val="24"/>
                <w:lang w:val="en-US" w:eastAsia="lv-LV"/>
              </w:rPr>
            </w:pPr>
          </w:p>
        </w:tc>
        <w:tc>
          <w:tcPr>
            <w:tcW w:w="66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7FA5E2B" w14:textId="7F136F25" w:rsidR="00363CD3" w:rsidRDefault="00363CD3" w:rsidP="00363CD3">
            <w:pPr>
              <w:spacing w:after="0" w:line="240" w:lineRule="auto"/>
              <w:jc w:val="both"/>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lastRenderedPageBreak/>
              <w:t xml:space="preserve">Pēc </w:t>
            </w:r>
            <w:r w:rsidR="00F839DC">
              <w:rPr>
                <w:rFonts w:ascii="Times New Roman" w:hAnsi="Times New Roman" w:cs="Times New Roman"/>
                <w:color w:val="auto"/>
                <w:sz w:val="24"/>
                <w:szCs w:val="24"/>
                <w:lang w:eastAsia="lv-LV"/>
              </w:rPr>
              <w:t>L</w:t>
            </w:r>
            <w:r>
              <w:rPr>
                <w:rFonts w:ascii="Times New Roman" w:hAnsi="Times New Roman" w:cs="Times New Roman"/>
                <w:color w:val="auto"/>
                <w:sz w:val="24"/>
                <w:szCs w:val="24"/>
                <w:lang w:eastAsia="lv-LV"/>
              </w:rPr>
              <w:t xml:space="preserve">ikuma grozījumu pieņemšanas politiskajām organizācijām (partijām) </w:t>
            </w:r>
            <w:r w:rsidR="00D42062">
              <w:rPr>
                <w:rFonts w:ascii="Times New Roman" w:hAnsi="Times New Roman" w:cs="Times New Roman"/>
                <w:color w:val="auto"/>
                <w:sz w:val="24"/>
                <w:szCs w:val="24"/>
                <w:lang w:eastAsia="lv-LV"/>
              </w:rPr>
              <w:t xml:space="preserve">Likums </w:t>
            </w:r>
            <w:r>
              <w:rPr>
                <w:rFonts w:ascii="Times New Roman" w:hAnsi="Times New Roman" w:cs="Times New Roman"/>
                <w:color w:val="auto"/>
                <w:sz w:val="24"/>
                <w:szCs w:val="24"/>
                <w:lang w:eastAsia="lv-LV"/>
              </w:rPr>
              <w:t>paredz tiesības izlietot valsts budžeta finansējumu šādām mērķu grupām:</w:t>
            </w:r>
          </w:p>
          <w:p w14:paraId="1B8E01B9" w14:textId="11FFF8B5" w:rsidR="00363CD3" w:rsidRPr="00363CD3" w:rsidRDefault="00363CD3" w:rsidP="00363CD3">
            <w:pPr>
              <w:pStyle w:val="ListParagraph"/>
              <w:numPr>
                <w:ilvl w:val="0"/>
                <w:numId w:val="3"/>
              </w:numPr>
              <w:spacing w:after="0" w:line="240" w:lineRule="auto"/>
              <w:jc w:val="both"/>
              <w:rPr>
                <w:rFonts w:ascii="Times New Roman" w:hAnsi="Times New Roman"/>
                <w:sz w:val="24"/>
                <w:szCs w:val="24"/>
                <w:u w:val="single"/>
                <w:lang w:eastAsia="lv-LV"/>
              </w:rPr>
            </w:pPr>
            <w:r w:rsidRPr="009C01DD">
              <w:rPr>
                <w:rFonts w:ascii="Times New Roman" w:hAnsi="Times New Roman"/>
                <w:sz w:val="24"/>
                <w:szCs w:val="24"/>
                <w:u w:val="single"/>
                <w:lang w:eastAsia="lv-LV"/>
              </w:rPr>
              <w:t xml:space="preserve">Politiskās organizācijas (partijas) biroja un darbinieku uzturēšanai. </w:t>
            </w:r>
            <w:r>
              <w:rPr>
                <w:rFonts w:ascii="Times New Roman" w:hAnsi="Times New Roman"/>
                <w:sz w:val="24"/>
                <w:szCs w:val="24"/>
                <w:lang w:eastAsia="lv-LV"/>
              </w:rPr>
              <w:t>Šā mērķa sasniegšanai līdzekļus var tērēt darbinieku algām, biroja telpu, tehnikas un iekārtu uzturēšanai, biroja telpu uzkopšanai, izdevumiem saistībā ar apmeklētāju uzņemšanu, grāmatvedības un apsardzes pakalpojumiem, kā arī citiem izdevumiem, kas atbilst Likumā paredzētajam mērķim.</w:t>
            </w:r>
          </w:p>
          <w:p w14:paraId="5A80A81C" w14:textId="6D1410FA" w:rsidR="00363CD3" w:rsidRDefault="00363CD3" w:rsidP="00363CD3">
            <w:pPr>
              <w:pStyle w:val="ListParagraph"/>
              <w:numPr>
                <w:ilvl w:val="0"/>
                <w:numId w:val="3"/>
              </w:numPr>
              <w:spacing w:after="0" w:line="240" w:lineRule="auto"/>
              <w:jc w:val="both"/>
              <w:rPr>
                <w:rFonts w:ascii="Times New Roman" w:hAnsi="Times New Roman"/>
                <w:sz w:val="24"/>
                <w:szCs w:val="24"/>
                <w:u w:val="single"/>
                <w:lang w:eastAsia="lv-LV"/>
              </w:rPr>
            </w:pPr>
            <w:r w:rsidRPr="00363CD3">
              <w:rPr>
                <w:rFonts w:ascii="Times New Roman" w:hAnsi="Times New Roman"/>
                <w:sz w:val="24"/>
                <w:szCs w:val="24"/>
                <w:u w:val="single"/>
                <w:lang w:eastAsia="lv-LV"/>
              </w:rPr>
              <w:t>Politiskās organizācijas (partijas) darbības saturisk</w:t>
            </w:r>
            <w:r w:rsidR="00AF0A7E">
              <w:rPr>
                <w:rFonts w:ascii="Times New Roman" w:hAnsi="Times New Roman"/>
                <w:sz w:val="24"/>
                <w:szCs w:val="24"/>
                <w:u w:val="single"/>
                <w:lang w:eastAsia="lv-LV"/>
              </w:rPr>
              <w:t>ai</w:t>
            </w:r>
            <w:r w:rsidRPr="00363CD3">
              <w:rPr>
                <w:rFonts w:ascii="Times New Roman" w:hAnsi="Times New Roman"/>
                <w:sz w:val="24"/>
                <w:szCs w:val="24"/>
                <w:u w:val="single"/>
                <w:lang w:eastAsia="lv-LV"/>
              </w:rPr>
              <w:t xml:space="preserve"> nodrošināšana</w:t>
            </w:r>
            <w:r w:rsidR="0044389C">
              <w:rPr>
                <w:rFonts w:ascii="Times New Roman" w:hAnsi="Times New Roman"/>
                <w:sz w:val="24"/>
                <w:szCs w:val="24"/>
                <w:u w:val="single"/>
                <w:lang w:eastAsia="lv-LV"/>
              </w:rPr>
              <w:t>i</w:t>
            </w:r>
            <w:r w:rsidRPr="00363CD3">
              <w:rPr>
                <w:rFonts w:ascii="Times New Roman" w:hAnsi="Times New Roman"/>
                <w:sz w:val="24"/>
                <w:szCs w:val="24"/>
                <w:u w:val="single"/>
                <w:lang w:eastAsia="lv-LV"/>
              </w:rPr>
              <w:t>, (piemēram, semināriem, kongresiem, konferencēm, pētniecības darbiem, aptaujām, jauniešu</w:t>
            </w:r>
            <w:r>
              <w:t xml:space="preserve"> </w:t>
            </w:r>
            <w:r w:rsidRPr="00363CD3">
              <w:rPr>
                <w:rFonts w:ascii="Times New Roman" w:hAnsi="Times New Roman"/>
                <w:sz w:val="24"/>
                <w:szCs w:val="24"/>
                <w:u w:val="single"/>
                <w:lang w:eastAsia="lv-LV"/>
              </w:rPr>
              <w:t>organizācijas pasākumiem, konsultācijām)</w:t>
            </w:r>
            <w:r w:rsidR="007149A5">
              <w:rPr>
                <w:rFonts w:ascii="Times New Roman" w:hAnsi="Times New Roman"/>
                <w:sz w:val="24"/>
                <w:szCs w:val="24"/>
                <w:u w:val="single"/>
                <w:lang w:eastAsia="lv-LV"/>
              </w:rPr>
              <w:t>.</w:t>
            </w:r>
            <w:r w:rsidRPr="00363CD3">
              <w:rPr>
                <w:rFonts w:ascii="Times New Roman" w:hAnsi="Times New Roman"/>
                <w:sz w:val="24"/>
                <w:szCs w:val="24"/>
                <w:u w:val="single"/>
                <w:lang w:eastAsia="lv-LV"/>
              </w:rPr>
              <w:t xml:space="preserve"> </w:t>
            </w:r>
          </w:p>
          <w:p w14:paraId="4488B186" w14:textId="11F7623E" w:rsidR="00363CD3" w:rsidRPr="007149A5" w:rsidRDefault="00363CD3" w:rsidP="00363CD3">
            <w:pPr>
              <w:pStyle w:val="ListParagraph"/>
              <w:numPr>
                <w:ilvl w:val="0"/>
                <w:numId w:val="3"/>
              </w:numPr>
              <w:spacing w:after="0" w:line="240" w:lineRule="auto"/>
              <w:jc w:val="both"/>
              <w:rPr>
                <w:rFonts w:ascii="Times New Roman" w:hAnsi="Times New Roman"/>
                <w:sz w:val="24"/>
                <w:szCs w:val="24"/>
                <w:lang w:eastAsia="lv-LV"/>
              </w:rPr>
            </w:pPr>
            <w:r w:rsidRPr="00363CD3">
              <w:rPr>
                <w:rFonts w:ascii="Times New Roman" w:hAnsi="Times New Roman"/>
                <w:sz w:val="24"/>
                <w:szCs w:val="24"/>
                <w:u w:val="single"/>
                <w:lang w:eastAsia="lv-LV"/>
              </w:rPr>
              <w:t xml:space="preserve">Politiskās organizācijas (partijas) komunikācijai ar sabiedrību, tostarp politiskajai aģitācijai. </w:t>
            </w:r>
            <w:r w:rsidRPr="007149A5">
              <w:rPr>
                <w:rFonts w:ascii="Times New Roman" w:hAnsi="Times New Roman"/>
                <w:sz w:val="24"/>
                <w:szCs w:val="24"/>
                <w:lang w:eastAsia="lv-LV"/>
              </w:rPr>
              <w:t xml:space="preserve">Šie izdevumi citastarp saistīti arī ar pasākumu īstenošanu atbilstoši politiskās organizācijas (partijas) darbības mērķiem sabiedrībai būtisku jautājumu skaidrošanā.  </w:t>
            </w:r>
          </w:p>
          <w:p w14:paraId="205A46C9" w14:textId="13C99A98" w:rsidR="00363CD3" w:rsidRDefault="00363CD3" w:rsidP="002C7A47">
            <w:pPr>
              <w:pStyle w:val="NoSpacing"/>
              <w:ind w:right="-24" w:firstLine="709"/>
              <w:jc w:val="both"/>
              <w:rPr>
                <w:rFonts w:ascii="Times New Roman" w:hAnsi="Times New Roman" w:cs="Times New Roman"/>
                <w:sz w:val="24"/>
                <w:szCs w:val="24"/>
              </w:rPr>
            </w:pPr>
            <w:r w:rsidRPr="00363CD3">
              <w:rPr>
                <w:rFonts w:ascii="Times New Roman" w:hAnsi="Times New Roman" w:cs="Times New Roman"/>
                <w:sz w:val="24"/>
                <w:szCs w:val="24"/>
              </w:rPr>
              <w:t>Konceptuāli lemjot par Projektā iekļaujamo saturu, darba grupa</w:t>
            </w:r>
            <w:proofErr w:type="gramStart"/>
            <w:r w:rsidRPr="00363CD3">
              <w:rPr>
                <w:rFonts w:ascii="Times New Roman" w:hAnsi="Times New Roman" w:cs="Times New Roman"/>
                <w:sz w:val="24"/>
                <w:szCs w:val="24"/>
              </w:rPr>
              <w:t xml:space="preserve"> </w:t>
            </w:r>
            <w:r w:rsidR="00AF122C">
              <w:rPr>
                <w:rFonts w:ascii="Times New Roman" w:hAnsi="Times New Roman" w:cs="Times New Roman"/>
                <w:sz w:val="24"/>
                <w:szCs w:val="24"/>
              </w:rPr>
              <w:t xml:space="preserve"> </w:t>
            </w:r>
            <w:proofErr w:type="gramEnd"/>
            <w:r w:rsidR="00AF122C">
              <w:rPr>
                <w:rFonts w:ascii="Times New Roman" w:hAnsi="Times New Roman" w:cs="Times New Roman"/>
                <w:sz w:val="24"/>
                <w:szCs w:val="24"/>
              </w:rPr>
              <w:t xml:space="preserve">(skat. anotācijas I sadaļas 3.punktu) </w:t>
            </w:r>
            <w:r w:rsidRPr="00363CD3">
              <w:rPr>
                <w:rFonts w:ascii="Times New Roman" w:hAnsi="Times New Roman" w:cs="Times New Roman"/>
                <w:sz w:val="24"/>
                <w:szCs w:val="24"/>
              </w:rPr>
              <w:t xml:space="preserve">nolēma, ka tajā ietverams negatīvs valsts budžeta finansējuma izlietojuma mērķu grupu veidu </w:t>
            </w:r>
            <w:r w:rsidRPr="00363CD3">
              <w:rPr>
                <w:rFonts w:ascii="Times New Roman" w:hAnsi="Times New Roman" w:cs="Times New Roman"/>
                <w:sz w:val="24"/>
                <w:szCs w:val="24"/>
              </w:rPr>
              <w:lastRenderedPageBreak/>
              <w:t>uzskaitījums. Šāds lēmums pieņemts, vadoties no Likuma grozījumos paredzētajiem valsts budžeta izlietojuma mērķiem, kas neparedz konkrētus un izsmeļošus valsts budžeta izlietojuma veidus. Likuma grozījumu viens no pamatojumiem ir apsvērums, ka normatīvajā aktā ietvert izsmeļošu un visaptverošu pieļaujamo izdevumu veidu uzskaitījumu praktiski nav iespējams, un savukārt nepilnīgs pieļaujamo izdevumu uzskaitījums nepamatoti ierobežo politiskās organizācijas (partijas) politisko darbību, kas nonāk pretrunā Likuma mērķim.</w:t>
            </w:r>
          </w:p>
          <w:p w14:paraId="0B437C19" w14:textId="1D592147" w:rsidR="003046F3" w:rsidRPr="00275D9B" w:rsidRDefault="00922F10" w:rsidP="003046F3">
            <w:pPr>
              <w:pStyle w:val="NoSpacing"/>
              <w:ind w:right="-24" w:firstLine="709"/>
              <w:jc w:val="both"/>
              <w:rPr>
                <w:rFonts w:ascii="Times New Roman" w:hAnsi="Times New Roman" w:cs="Times New Roman"/>
                <w:sz w:val="24"/>
                <w:szCs w:val="24"/>
              </w:rPr>
            </w:pPr>
            <w:proofErr w:type="gramStart"/>
            <w:r w:rsidRPr="00EF566E">
              <w:rPr>
                <w:rFonts w:ascii="Times New Roman" w:hAnsi="Times New Roman" w:cs="Times New Roman"/>
                <w:sz w:val="24"/>
                <w:szCs w:val="24"/>
              </w:rPr>
              <w:t xml:space="preserve">Vienlaikus </w:t>
            </w:r>
            <w:r w:rsidR="00044967">
              <w:rPr>
                <w:rFonts w:ascii="Times New Roman" w:hAnsi="Times New Roman" w:cs="Times New Roman"/>
                <w:sz w:val="24"/>
                <w:szCs w:val="24"/>
              </w:rPr>
              <w:t>P</w:t>
            </w:r>
            <w:r w:rsidRPr="00EF566E">
              <w:rPr>
                <w:rFonts w:ascii="Times New Roman" w:hAnsi="Times New Roman" w:cs="Times New Roman"/>
                <w:sz w:val="24"/>
                <w:szCs w:val="24"/>
              </w:rPr>
              <w:t>rojektā ietverts</w:t>
            </w:r>
            <w:proofErr w:type="gramEnd"/>
            <w:r w:rsidRPr="00EF566E">
              <w:rPr>
                <w:rFonts w:ascii="Times New Roman" w:hAnsi="Times New Roman" w:cs="Times New Roman"/>
                <w:sz w:val="24"/>
                <w:szCs w:val="24"/>
              </w:rPr>
              <w:t xml:space="preserve"> vispārīgs pienākums rīko</w:t>
            </w:r>
            <w:r w:rsidRPr="00DA0749">
              <w:rPr>
                <w:rFonts w:ascii="Times New Roman" w:hAnsi="Times New Roman" w:cs="Times New Roman"/>
                <w:sz w:val="24"/>
                <w:szCs w:val="24"/>
              </w:rPr>
              <w:t xml:space="preserve">ties ar piešķirtajiem valsts budžeta </w:t>
            </w:r>
            <w:r w:rsidRPr="00275D9B">
              <w:rPr>
                <w:rFonts w:ascii="Times New Roman" w:hAnsi="Times New Roman" w:cs="Times New Roman"/>
                <w:sz w:val="24"/>
                <w:szCs w:val="24"/>
              </w:rPr>
              <w:t>finanšu līdzekļiem lietderīgi</w:t>
            </w:r>
            <w:r w:rsidR="003046F3" w:rsidRPr="00275D9B">
              <w:rPr>
                <w:rFonts w:ascii="Times New Roman" w:hAnsi="Times New Roman" w:cs="Times New Roman"/>
                <w:sz w:val="24"/>
                <w:szCs w:val="24"/>
              </w:rPr>
              <w:t>:</w:t>
            </w:r>
          </w:p>
          <w:p w14:paraId="2C4A26CA" w14:textId="77777777" w:rsidR="003046F3" w:rsidRPr="00EF566E" w:rsidRDefault="003046F3" w:rsidP="003046F3">
            <w:pPr>
              <w:pStyle w:val="NoSpacing"/>
              <w:numPr>
                <w:ilvl w:val="0"/>
                <w:numId w:val="3"/>
              </w:numPr>
              <w:ind w:right="-24"/>
              <w:jc w:val="both"/>
              <w:rPr>
                <w:rFonts w:ascii="Times New Roman" w:hAnsi="Times New Roman" w:cs="Times New Roman"/>
                <w:sz w:val="24"/>
                <w:szCs w:val="24"/>
              </w:rPr>
            </w:pPr>
            <w:r w:rsidRPr="00EF566E">
              <w:rPr>
                <w:rFonts w:ascii="Times New Roman" w:hAnsi="Times New Roman" w:cs="Times New Roman"/>
                <w:sz w:val="24"/>
                <w:szCs w:val="24"/>
              </w:rPr>
              <w:t xml:space="preserve"> rīcībai jābūt tādai, lai mērķi sasniegtu ar iespējami mazāko finanšu līdzekļu izlietojumu;</w:t>
            </w:r>
          </w:p>
          <w:p w14:paraId="678389A9" w14:textId="4704A902" w:rsidR="00922F10" w:rsidRPr="00E16879" w:rsidRDefault="003046F3" w:rsidP="00E16879">
            <w:pPr>
              <w:pStyle w:val="NoSpacing"/>
              <w:numPr>
                <w:ilvl w:val="0"/>
                <w:numId w:val="3"/>
              </w:numPr>
              <w:ind w:right="-24"/>
              <w:jc w:val="both"/>
              <w:rPr>
                <w:rFonts w:ascii="Times New Roman" w:hAnsi="Times New Roman" w:cs="Times New Roman"/>
                <w:sz w:val="24"/>
                <w:szCs w:val="24"/>
              </w:rPr>
            </w:pPr>
            <w:r w:rsidRPr="00EF566E">
              <w:rPr>
                <w:rFonts w:ascii="Times New Roman" w:hAnsi="Times New Roman" w:cs="Times New Roman"/>
                <w:sz w:val="24"/>
                <w:szCs w:val="24"/>
              </w:rPr>
              <w:t>par šiem finanšu līdzekļiem īpašumā vai lietošanā iegūstama manta vai saņemtais pakalpojums iegādājams par iespējami izdevīgāko cenu</w:t>
            </w:r>
            <w:r w:rsidR="00E16879">
              <w:rPr>
                <w:rFonts w:ascii="Times New Roman" w:hAnsi="Times New Roman" w:cs="Times New Roman"/>
                <w:sz w:val="24"/>
                <w:szCs w:val="24"/>
              </w:rPr>
              <w:t>.</w:t>
            </w:r>
          </w:p>
          <w:p w14:paraId="1FBEA7E4" w14:textId="1B521F41" w:rsidR="00363CD3" w:rsidRDefault="00363CD3" w:rsidP="00E16879">
            <w:pPr>
              <w:pStyle w:val="NoSpacing"/>
              <w:ind w:right="-24"/>
              <w:jc w:val="both"/>
              <w:rPr>
                <w:rFonts w:ascii="Times New Roman" w:hAnsi="Times New Roman" w:cs="Times New Roman"/>
                <w:sz w:val="24"/>
                <w:szCs w:val="24"/>
              </w:rPr>
            </w:pPr>
            <w:r w:rsidRPr="00363CD3">
              <w:rPr>
                <w:rFonts w:ascii="Times New Roman" w:hAnsi="Times New Roman" w:cs="Times New Roman"/>
                <w:sz w:val="24"/>
                <w:szCs w:val="24"/>
              </w:rPr>
              <w:t xml:space="preserve">Projektā paredzētie valsts budžeta izlietojuma ierobežojumi noteikti, ievērojot </w:t>
            </w:r>
            <w:r w:rsidR="00044967" w:rsidRPr="00044967">
              <w:rPr>
                <w:rFonts w:ascii="Times New Roman" w:hAnsi="Times New Roman" w:cs="Times New Roman"/>
                <w:sz w:val="24"/>
                <w:szCs w:val="24"/>
              </w:rPr>
              <w:t>Korupcijas novēršanas un apkarošanas biroja (turpmāk – Birojs)</w:t>
            </w:r>
            <w:r w:rsidR="006262A8">
              <w:rPr>
                <w:rFonts w:ascii="Times New Roman" w:hAnsi="Times New Roman" w:cs="Times New Roman"/>
                <w:sz w:val="24"/>
                <w:szCs w:val="24"/>
              </w:rPr>
              <w:t xml:space="preserve"> </w:t>
            </w:r>
            <w:r w:rsidRPr="00363CD3">
              <w:rPr>
                <w:rFonts w:ascii="Times New Roman" w:hAnsi="Times New Roman" w:cs="Times New Roman"/>
                <w:sz w:val="24"/>
                <w:szCs w:val="24"/>
              </w:rPr>
              <w:t xml:space="preserve">praksi, judikatūru </w:t>
            </w:r>
            <w:proofErr w:type="gramStart"/>
            <w:r w:rsidR="00EC7B3C">
              <w:rPr>
                <w:rFonts w:ascii="Times New Roman" w:hAnsi="Times New Roman" w:cs="Times New Roman"/>
                <w:sz w:val="24"/>
                <w:szCs w:val="24"/>
              </w:rPr>
              <w:t>(</w:t>
            </w:r>
            <w:proofErr w:type="gramEnd"/>
            <w:r w:rsidRPr="00EC7B3C">
              <w:rPr>
                <w:rFonts w:ascii="Times New Roman" w:hAnsi="Times New Roman" w:cs="Times New Roman"/>
                <w:i/>
                <w:iCs/>
                <w:sz w:val="24"/>
                <w:szCs w:val="24"/>
              </w:rPr>
              <w:t>Augstākās tiesas Administratīvo lietu departamenta 2017.</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gada 3.</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novembra spriedums lietā Nr.</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SKA-287/2017; 2017.</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gada 1.</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decembra spriedums lietā Nr.</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SKA-292/2017; 2017.</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gada 15.</w:t>
            </w:r>
            <w:r w:rsidR="00283E48">
              <w:rPr>
                <w:rFonts w:ascii="Times New Roman" w:hAnsi="Times New Roman" w:cs="Times New Roman"/>
                <w:i/>
                <w:iCs/>
                <w:sz w:val="24"/>
                <w:szCs w:val="24"/>
              </w:rPr>
              <w:t> </w:t>
            </w:r>
            <w:r w:rsidRPr="00EC7B3C">
              <w:rPr>
                <w:rFonts w:ascii="Times New Roman" w:hAnsi="Times New Roman" w:cs="Times New Roman"/>
                <w:i/>
                <w:iCs/>
                <w:sz w:val="24"/>
                <w:szCs w:val="24"/>
              </w:rPr>
              <w:t xml:space="preserve">decembra spriedums lietā </w:t>
            </w:r>
            <w:r w:rsidR="00283E48">
              <w:rPr>
                <w:rFonts w:ascii="Times New Roman" w:hAnsi="Times New Roman" w:cs="Times New Roman"/>
                <w:i/>
                <w:iCs/>
                <w:sz w:val="24"/>
                <w:szCs w:val="24"/>
              </w:rPr>
              <w:t>Nr. </w:t>
            </w:r>
            <w:r w:rsidRPr="00EC7B3C">
              <w:rPr>
                <w:rFonts w:ascii="Times New Roman" w:hAnsi="Times New Roman" w:cs="Times New Roman"/>
                <w:i/>
                <w:iCs/>
                <w:sz w:val="24"/>
                <w:szCs w:val="24"/>
              </w:rPr>
              <w:t>SKA-450/2017</w:t>
            </w:r>
            <w:r w:rsidRPr="00363CD3">
              <w:rPr>
                <w:rFonts w:ascii="Times New Roman" w:hAnsi="Times New Roman" w:cs="Times New Roman"/>
                <w:sz w:val="24"/>
                <w:szCs w:val="24"/>
              </w:rPr>
              <w:t xml:space="preserve">), kā arī politisko organizāciju (partiju) </w:t>
            </w:r>
            <w:r w:rsidR="00152F6C">
              <w:rPr>
                <w:rFonts w:ascii="Times New Roman" w:hAnsi="Times New Roman" w:cs="Times New Roman"/>
                <w:sz w:val="24"/>
                <w:szCs w:val="24"/>
              </w:rPr>
              <w:t xml:space="preserve">un sabiedrisko organizāciju </w:t>
            </w:r>
            <w:r w:rsidRPr="00363CD3">
              <w:rPr>
                <w:rFonts w:ascii="Times New Roman" w:hAnsi="Times New Roman" w:cs="Times New Roman"/>
                <w:sz w:val="24"/>
                <w:szCs w:val="24"/>
              </w:rPr>
              <w:t>viedokļus</w:t>
            </w:r>
            <w:r w:rsidR="00EC7B3C">
              <w:rPr>
                <w:rFonts w:ascii="Times New Roman" w:hAnsi="Times New Roman" w:cs="Times New Roman"/>
                <w:sz w:val="24"/>
                <w:szCs w:val="24"/>
              </w:rPr>
              <w:t>.</w:t>
            </w:r>
          </w:p>
          <w:p w14:paraId="58E66117" w14:textId="0F87B101" w:rsidR="00D42062" w:rsidRDefault="00302A37" w:rsidP="00D42062">
            <w:pPr>
              <w:pStyle w:val="NoSpacing"/>
              <w:ind w:right="-24" w:firstLine="709"/>
              <w:jc w:val="both"/>
              <w:rPr>
                <w:rFonts w:ascii="Times New Roman" w:hAnsi="Times New Roman" w:cs="Times New Roman"/>
                <w:sz w:val="24"/>
                <w:szCs w:val="24"/>
              </w:rPr>
            </w:pPr>
            <w:r>
              <w:rPr>
                <w:rFonts w:ascii="Times New Roman" w:hAnsi="Times New Roman" w:cs="Times New Roman"/>
                <w:sz w:val="24"/>
                <w:szCs w:val="24"/>
              </w:rPr>
              <w:t>P</w:t>
            </w:r>
            <w:r w:rsidR="00D42062" w:rsidRPr="00D42062">
              <w:rPr>
                <w:rFonts w:ascii="Times New Roman" w:hAnsi="Times New Roman" w:cs="Times New Roman"/>
                <w:sz w:val="24"/>
                <w:szCs w:val="24"/>
              </w:rPr>
              <w:t>rojekta regulējums</w:t>
            </w:r>
            <w:r w:rsidR="00D42062">
              <w:rPr>
                <w:rFonts w:ascii="Times New Roman" w:hAnsi="Times New Roman" w:cs="Times New Roman"/>
                <w:sz w:val="24"/>
                <w:szCs w:val="24"/>
              </w:rPr>
              <w:t xml:space="preserve"> par ierobežojumu ata</w:t>
            </w:r>
            <w:r w:rsidR="00922F10">
              <w:rPr>
                <w:rFonts w:ascii="Times New Roman" w:hAnsi="Times New Roman" w:cs="Times New Roman"/>
                <w:sz w:val="24"/>
                <w:szCs w:val="24"/>
              </w:rPr>
              <w:t>l</w:t>
            </w:r>
            <w:r w:rsidR="00D42062">
              <w:rPr>
                <w:rFonts w:ascii="Times New Roman" w:hAnsi="Times New Roman" w:cs="Times New Roman"/>
                <w:sz w:val="24"/>
                <w:szCs w:val="24"/>
              </w:rPr>
              <w:t>gojumam valsts amatpersonām</w:t>
            </w:r>
            <w:r w:rsidR="00D42062" w:rsidRPr="00D42062">
              <w:rPr>
                <w:rFonts w:ascii="Times New Roman" w:hAnsi="Times New Roman" w:cs="Times New Roman"/>
                <w:sz w:val="24"/>
                <w:szCs w:val="24"/>
              </w:rPr>
              <w:t xml:space="preserve"> vērsts uz valsts budžeta finansējuma lietderīgu izmantošanu, ievērojot valsts amatpersonu atbildības un atalgojuma apmēru. </w:t>
            </w:r>
            <w:r>
              <w:rPr>
                <w:rFonts w:ascii="Times New Roman" w:hAnsi="Times New Roman" w:cs="Times New Roman"/>
                <w:sz w:val="24"/>
                <w:szCs w:val="24"/>
              </w:rPr>
              <w:t>P</w:t>
            </w:r>
            <w:r w:rsidR="00D42062" w:rsidRPr="00D42062">
              <w:rPr>
                <w:rFonts w:ascii="Times New Roman" w:hAnsi="Times New Roman" w:cs="Times New Roman"/>
                <w:sz w:val="24"/>
                <w:szCs w:val="24"/>
              </w:rPr>
              <w:t xml:space="preserve">rojekts, ievērojot </w:t>
            </w:r>
            <w:r w:rsidR="0030019C">
              <w:rPr>
                <w:rFonts w:ascii="Times New Roman" w:hAnsi="Times New Roman" w:cs="Times New Roman"/>
                <w:sz w:val="24"/>
                <w:szCs w:val="24"/>
              </w:rPr>
              <w:t>L</w:t>
            </w:r>
            <w:r w:rsidR="00D42062" w:rsidRPr="00D42062">
              <w:rPr>
                <w:rFonts w:ascii="Times New Roman" w:hAnsi="Times New Roman" w:cs="Times New Roman"/>
                <w:sz w:val="24"/>
                <w:szCs w:val="24"/>
              </w:rPr>
              <w:t xml:space="preserve">ikumā paredzēto deleģējumu, regulē vienīgi valsts budžeta finansējuma izlietojumu. Vispārējs aizliegums politiskajām </w:t>
            </w:r>
            <w:r>
              <w:rPr>
                <w:rFonts w:ascii="Times New Roman" w:hAnsi="Times New Roman" w:cs="Times New Roman"/>
                <w:sz w:val="24"/>
                <w:szCs w:val="24"/>
              </w:rPr>
              <w:t>organizācijām (</w:t>
            </w:r>
            <w:r w:rsidR="00D42062" w:rsidRPr="00D42062">
              <w:rPr>
                <w:rFonts w:ascii="Times New Roman" w:hAnsi="Times New Roman" w:cs="Times New Roman"/>
                <w:sz w:val="24"/>
                <w:szCs w:val="24"/>
              </w:rPr>
              <w:t>partijām</w:t>
            </w:r>
            <w:r>
              <w:rPr>
                <w:rFonts w:ascii="Times New Roman" w:hAnsi="Times New Roman" w:cs="Times New Roman"/>
                <w:sz w:val="24"/>
                <w:szCs w:val="24"/>
              </w:rPr>
              <w:t>)</w:t>
            </w:r>
            <w:r w:rsidR="00D42062" w:rsidRPr="00D42062">
              <w:rPr>
                <w:rFonts w:ascii="Times New Roman" w:hAnsi="Times New Roman" w:cs="Times New Roman"/>
                <w:sz w:val="24"/>
                <w:szCs w:val="24"/>
              </w:rPr>
              <w:t xml:space="preserve"> algot konkrētas amatpersonas neatbilstu </w:t>
            </w:r>
            <w:r>
              <w:rPr>
                <w:rFonts w:ascii="Times New Roman" w:hAnsi="Times New Roman" w:cs="Times New Roman"/>
                <w:sz w:val="24"/>
                <w:szCs w:val="24"/>
              </w:rPr>
              <w:t>Projekta</w:t>
            </w:r>
            <w:r w:rsidR="00D42062" w:rsidRPr="00D42062">
              <w:rPr>
                <w:rFonts w:ascii="Times New Roman" w:hAnsi="Times New Roman" w:cs="Times New Roman"/>
                <w:sz w:val="24"/>
                <w:szCs w:val="24"/>
              </w:rPr>
              <w:t xml:space="preserve"> mērķim un likumdevēja pilnvarojumam. </w:t>
            </w:r>
            <w:r>
              <w:rPr>
                <w:rFonts w:ascii="Times New Roman" w:hAnsi="Times New Roman" w:cs="Times New Roman"/>
                <w:sz w:val="24"/>
                <w:szCs w:val="24"/>
              </w:rPr>
              <w:t>P</w:t>
            </w:r>
            <w:r w:rsidR="00D42062" w:rsidRPr="00D42062">
              <w:rPr>
                <w:rFonts w:ascii="Times New Roman" w:hAnsi="Times New Roman" w:cs="Times New Roman"/>
                <w:sz w:val="24"/>
                <w:szCs w:val="24"/>
              </w:rPr>
              <w:t xml:space="preserve">rojekta regulējums neskar politisko </w:t>
            </w:r>
            <w:r>
              <w:rPr>
                <w:rFonts w:ascii="Times New Roman" w:hAnsi="Times New Roman" w:cs="Times New Roman"/>
                <w:sz w:val="24"/>
                <w:szCs w:val="24"/>
              </w:rPr>
              <w:t>organizāciju (</w:t>
            </w:r>
            <w:r w:rsidR="00D42062" w:rsidRPr="00D42062">
              <w:rPr>
                <w:rFonts w:ascii="Times New Roman" w:hAnsi="Times New Roman" w:cs="Times New Roman"/>
                <w:sz w:val="24"/>
                <w:szCs w:val="24"/>
              </w:rPr>
              <w:t>partiju</w:t>
            </w:r>
            <w:r>
              <w:rPr>
                <w:rFonts w:ascii="Times New Roman" w:hAnsi="Times New Roman" w:cs="Times New Roman"/>
                <w:sz w:val="24"/>
                <w:szCs w:val="24"/>
              </w:rPr>
              <w:t>)</w:t>
            </w:r>
            <w:r w:rsidR="00D42062" w:rsidRPr="00D42062">
              <w:rPr>
                <w:rFonts w:ascii="Times New Roman" w:hAnsi="Times New Roman" w:cs="Times New Roman"/>
                <w:sz w:val="24"/>
                <w:szCs w:val="24"/>
              </w:rPr>
              <w:t xml:space="preserve"> tiesības maksāt atalgojumu valsts amatperson</w:t>
            </w:r>
            <w:r w:rsidR="00922F10">
              <w:rPr>
                <w:rFonts w:ascii="Times New Roman" w:hAnsi="Times New Roman" w:cs="Times New Roman"/>
                <w:sz w:val="24"/>
                <w:szCs w:val="24"/>
              </w:rPr>
              <w:t>ām</w:t>
            </w:r>
            <w:r w:rsidR="00D42062" w:rsidRPr="00D42062">
              <w:rPr>
                <w:rFonts w:ascii="Times New Roman" w:hAnsi="Times New Roman" w:cs="Times New Roman"/>
                <w:sz w:val="24"/>
                <w:szCs w:val="24"/>
              </w:rPr>
              <w:t xml:space="preserve"> no </w:t>
            </w:r>
            <w:proofErr w:type="gramStart"/>
            <w:r w:rsidR="00D42062" w:rsidRPr="00D42062">
              <w:rPr>
                <w:rFonts w:ascii="Times New Roman" w:hAnsi="Times New Roman" w:cs="Times New Roman"/>
                <w:sz w:val="24"/>
                <w:szCs w:val="24"/>
              </w:rPr>
              <w:t>citiem finansiālajiem līdzekļiem</w:t>
            </w:r>
            <w:proofErr w:type="gramEnd"/>
            <w:r w:rsidR="00D42062" w:rsidRPr="00D42062">
              <w:rPr>
                <w:rFonts w:ascii="Times New Roman" w:hAnsi="Times New Roman" w:cs="Times New Roman"/>
                <w:sz w:val="24"/>
                <w:szCs w:val="24"/>
              </w:rPr>
              <w:t>.</w:t>
            </w:r>
          </w:p>
          <w:p w14:paraId="3E333D90" w14:textId="6A5A2DAB" w:rsidR="00262A3C" w:rsidRDefault="00EC7B3C" w:rsidP="009F335D">
            <w:pPr>
              <w:pStyle w:val="NoSpacing"/>
              <w:ind w:right="-24" w:firstLine="709"/>
              <w:jc w:val="both"/>
              <w:rPr>
                <w:rFonts w:ascii="Times New Roman" w:hAnsi="Times New Roman" w:cs="Times New Roman"/>
                <w:sz w:val="24"/>
                <w:szCs w:val="24"/>
              </w:rPr>
            </w:pPr>
            <w:r>
              <w:rPr>
                <w:rFonts w:ascii="Times New Roman" w:hAnsi="Times New Roman" w:cs="Times New Roman"/>
                <w:sz w:val="24"/>
                <w:szCs w:val="24"/>
              </w:rPr>
              <w:t>Projektā ietverti arī v</w:t>
            </w:r>
            <w:r w:rsidRPr="00EC7B3C">
              <w:rPr>
                <w:rFonts w:ascii="Times New Roman" w:hAnsi="Times New Roman" w:cs="Times New Roman"/>
                <w:sz w:val="24"/>
                <w:szCs w:val="24"/>
              </w:rPr>
              <w:t>alsts budžeta finansējuma izlietojum</w:t>
            </w:r>
            <w:r>
              <w:rPr>
                <w:rFonts w:ascii="Times New Roman" w:hAnsi="Times New Roman" w:cs="Times New Roman"/>
                <w:sz w:val="24"/>
                <w:szCs w:val="24"/>
              </w:rPr>
              <w:t>a ierobežojumi</w:t>
            </w:r>
            <w:r w:rsidRPr="00EC7B3C">
              <w:rPr>
                <w:rFonts w:ascii="Times New Roman" w:hAnsi="Times New Roman" w:cs="Times New Roman"/>
                <w:sz w:val="24"/>
                <w:szCs w:val="24"/>
              </w:rPr>
              <w:t xml:space="preserve"> politisko organizāciju (partiju) reģistrētās un nereģistrētās apvienībās</w:t>
            </w:r>
            <w:r>
              <w:rPr>
                <w:rFonts w:ascii="Times New Roman" w:hAnsi="Times New Roman" w:cs="Times New Roman"/>
                <w:sz w:val="24"/>
                <w:szCs w:val="24"/>
              </w:rPr>
              <w:t xml:space="preserve">. Ierobežojumi noteikti, ievērojot valsts budžeta finansējuma mērķi - </w:t>
            </w:r>
            <w:r w:rsidR="003D47B5" w:rsidRPr="003D47B5">
              <w:rPr>
                <w:rFonts w:ascii="Times New Roman" w:hAnsi="Times New Roman" w:cs="Times New Roman"/>
                <w:sz w:val="24"/>
                <w:szCs w:val="24"/>
              </w:rPr>
              <w:t>stabilu politisko partiju sistēmas nostiprināšan</w:t>
            </w:r>
            <w:r w:rsidR="003D47B5">
              <w:rPr>
                <w:rFonts w:ascii="Times New Roman" w:hAnsi="Times New Roman" w:cs="Times New Roman"/>
                <w:sz w:val="24"/>
                <w:szCs w:val="24"/>
              </w:rPr>
              <w:t xml:space="preserve">a. </w:t>
            </w:r>
            <w:r w:rsidR="00DB22C2">
              <w:rPr>
                <w:rFonts w:ascii="Times New Roman" w:hAnsi="Times New Roman" w:cs="Times New Roman"/>
                <w:sz w:val="24"/>
                <w:szCs w:val="24"/>
              </w:rPr>
              <w:t xml:space="preserve">Jāņem vērā, ka valsts finansējums vērsts uz tāda politiska veidojuma stiprināšanu, kas vēlēšanās piedalījās ar savu programmu, un domāts </w:t>
            </w:r>
            <w:r w:rsidR="009F335D">
              <w:rPr>
                <w:rFonts w:ascii="Times New Roman" w:hAnsi="Times New Roman" w:cs="Times New Roman"/>
                <w:sz w:val="24"/>
                <w:szCs w:val="24"/>
              </w:rPr>
              <w:t xml:space="preserve">politiskās organizācijas (partijas), kas ieguvusi vēlētāju balsis, stiprināšanai. </w:t>
            </w:r>
            <w:r w:rsidR="00606506">
              <w:rPr>
                <w:rFonts w:ascii="Times New Roman" w:hAnsi="Times New Roman" w:cs="Times New Roman"/>
                <w:sz w:val="24"/>
                <w:szCs w:val="24"/>
              </w:rPr>
              <w:t xml:space="preserve">To atspoguļo arī </w:t>
            </w:r>
            <w:r w:rsidR="00262A3C" w:rsidRPr="00262A3C">
              <w:rPr>
                <w:rFonts w:ascii="Times New Roman" w:hAnsi="Times New Roman" w:cs="Times New Roman"/>
                <w:sz w:val="24"/>
                <w:szCs w:val="24"/>
              </w:rPr>
              <w:t>Likuma grozījumi (Likuma 7.</w:t>
            </w:r>
            <w:r w:rsidR="00262A3C" w:rsidRPr="00262A3C">
              <w:rPr>
                <w:rFonts w:ascii="Times New Roman" w:hAnsi="Times New Roman" w:cs="Times New Roman"/>
                <w:sz w:val="24"/>
                <w:szCs w:val="24"/>
                <w:vertAlign w:val="superscript"/>
              </w:rPr>
              <w:t>4</w:t>
            </w:r>
            <w:r w:rsidR="00283E48">
              <w:rPr>
                <w:rFonts w:ascii="Times New Roman" w:hAnsi="Times New Roman" w:cs="Times New Roman"/>
                <w:sz w:val="24"/>
                <w:szCs w:val="24"/>
              </w:rPr>
              <w:t> </w:t>
            </w:r>
            <w:r w:rsidR="00262A3C" w:rsidRPr="00262A3C">
              <w:rPr>
                <w:rFonts w:ascii="Times New Roman" w:hAnsi="Times New Roman" w:cs="Times New Roman"/>
                <w:sz w:val="24"/>
                <w:szCs w:val="24"/>
              </w:rPr>
              <w:t>panta 2.</w:t>
            </w:r>
            <w:r w:rsidR="00262A3C" w:rsidRPr="00262A3C">
              <w:rPr>
                <w:rFonts w:ascii="Times New Roman" w:hAnsi="Times New Roman" w:cs="Times New Roman"/>
                <w:sz w:val="24"/>
                <w:szCs w:val="24"/>
                <w:vertAlign w:val="superscript"/>
              </w:rPr>
              <w:t>1</w:t>
            </w:r>
            <w:r w:rsidR="00283E48">
              <w:rPr>
                <w:rFonts w:ascii="Times New Roman" w:hAnsi="Times New Roman" w:cs="Times New Roman"/>
                <w:sz w:val="24"/>
                <w:szCs w:val="24"/>
              </w:rPr>
              <w:t> </w:t>
            </w:r>
            <w:r w:rsidR="00262A3C" w:rsidRPr="00262A3C">
              <w:rPr>
                <w:rFonts w:ascii="Times New Roman" w:hAnsi="Times New Roman" w:cs="Times New Roman"/>
                <w:sz w:val="24"/>
                <w:szCs w:val="24"/>
              </w:rPr>
              <w:t>daļa)</w:t>
            </w:r>
            <w:r w:rsidR="00F839DC">
              <w:rPr>
                <w:rFonts w:ascii="Times New Roman" w:hAnsi="Times New Roman" w:cs="Times New Roman"/>
                <w:sz w:val="24"/>
                <w:szCs w:val="24"/>
              </w:rPr>
              <w:t>, kas</w:t>
            </w:r>
            <w:r w:rsidR="00262A3C" w:rsidRPr="00262A3C">
              <w:rPr>
                <w:rFonts w:ascii="Times New Roman" w:hAnsi="Times New Roman" w:cs="Times New Roman"/>
                <w:sz w:val="24"/>
                <w:szCs w:val="24"/>
              </w:rPr>
              <w:t xml:space="preserve"> paredz, ka politisko organizāciju (partiju) apvienība, kurai piešķirts valsts budžeta finansējums, var to piešķirt tās sastāvā esošai politiskajai organizācijai (partijai), pārskaitot uz politiskās organizācijas (partijas) atvērtu atsevišķu kontu Latvijā reģistrētā kredītiestādē, ja politiskā organizācija (partija) bijusi politisko organizāciju (partiju) apvienības sastāvā, kandidējot pēdējās Saeimas vēlēšanās</w:t>
            </w:r>
            <w:r w:rsidR="00262A3C">
              <w:rPr>
                <w:rFonts w:ascii="Times New Roman" w:hAnsi="Times New Roman" w:cs="Times New Roman"/>
                <w:sz w:val="24"/>
                <w:szCs w:val="24"/>
              </w:rPr>
              <w:t>.</w:t>
            </w:r>
          </w:p>
          <w:p w14:paraId="561CAB73" w14:textId="375C4717" w:rsidR="004013F8" w:rsidRDefault="009F335D" w:rsidP="004013F8">
            <w:pPr>
              <w:pStyle w:val="NoSpacing"/>
              <w:ind w:right="-24" w:firstLine="709"/>
              <w:jc w:val="both"/>
              <w:rPr>
                <w:rFonts w:ascii="Times New Roman" w:hAnsi="Times New Roman" w:cs="Times New Roman"/>
                <w:sz w:val="24"/>
                <w:szCs w:val="24"/>
              </w:rPr>
            </w:pPr>
            <w:r w:rsidRPr="009F335D">
              <w:rPr>
                <w:rFonts w:ascii="Times New Roman" w:hAnsi="Times New Roman" w:cs="Times New Roman"/>
                <w:sz w:val="24"/>
                <w:szCs w:val="24"/>
              </w:rPr>
              <w:t>Valsts budžeta finansējuma saņemšanu politisko organizāciju (partiju) un to apvienību reorganizācijas, likvidācijas un izveides gadījumā regulē Likuma 7.</w:t>
            </w:r>
            <w:r w:rsidRPr="009F335D">
              <w:rPr>
                <w:rFonts w:ascii="Times New Roman" w:hAnsi="Times New Roman" w:cs="Times New Roman"/>
                <w:sz w:val="24"/>
                <w:szCs w:val="24"/>
                <w:vertAlign w:val="superscript"/>
              </w:rPr>
              <w:t>5</w:t>
            </w:r>
            <w:r w:rsidR="00283E48">
              <w:rPr>
                <w:rFonts w:ascii="Times New Roman" w:hAnsi="Times New Roman" w:cs="Times New Roman"/>
                <w:sz w:val="24"/>
                <w:szCs w:val="24"/>
              </w:rPr>
              <w:t> </w:t>
            </w:r>
            <w:r w:rsidRPr="009F335D">
              <w:rPr>
                <w:rFonts w:ascii="Times New Roman" w:hAnsi="Times New Roman" w:cs="Times New Roman"/>
                <w:sz w:val="24"/>
                <w:szCs w:val="24"/>
              </w:rPr>
              <w:t xml:space="preserve">pants. </w:t>
            </w:r>
            <w:r w:rsidR="00606506">
              <w:rPr>
                <w:rFonts w:ascii="Times New Roman" w:hAnsi="Times New Roman" w:cs="Times New Roman"/>
                <w:sz w:val="24"/>
                <w:szCs w:val="24"/>
              </w:rPr>
              <w:t>N</w:t>
            </w:r>
            <w:r w:rsidR="00F25503">
              <w:rPr>
                <w:rFonts w:ascii="Times New Roman" w:hAnsi="Times New Roman" w:cs="Times New Roman"/>
                <w:sz w:val="24"/>
                <w:szCs w:val="24"/>
              </w:rPr>
              <w:t xml:space="preserve">enoregulēts ir jautājums par </w:t>
            </w:r>
            <w:r w:rsidR="00F25503" w:rsidRPr="00F25503">
              <w:rPr>
                <w:rFonts w:ascii="Times New Roman" w:hAnsi="Times New Roman" w:cs="Times New Roman"/>
                <w:sz w:val="24"/>
                <w:szCs w:val="24"/>
              </w:rPr>
              <w:lastRenderedPageBreak/>
              <w:t>politisko organizāciju (partiju)</w:t>
            </w:r>
            <w:r w:rsidR="00F25503">
              <w:rPr>
                <w:rFonts w:ascii="Times New Roman" w:hAnsi="Times New Roman" w:cs="Times New Roman"/>
                <w:sz w:val="24"/>
                <w:szCs w:val="24"/>
              </w:rPr>
              <w:t xml:space="preserve"> apvienība</w:t>
            </w:r>
            <w:r w:rsidR="00606506">
              <w:rPr>
                <w:rFonts w:ascii="Times New Roman" w:hAnsi="Times New Roman" w:cs="Times New Roman"/>
                <w:sz w:val="24"/>
                <w:szCs w:val="24"/>
              </w:rPr>
              <w:t>i</w:t>
            </w:r>
            <w:r w:rsidR="00F25503">
              <w:rPr>
                <w:rFonts w:ascii="Times New Roman" w:hAnsi="Times New Roman" w:cs="Times New Roman"/>
                <w:sz w:val="24"/>
                <w:szCs w:val="24"/>
              </w:rPr>
              <w:t xml:space="preserve"> </w:t>
            </w:r>
            <w:r w:rsidR="00606506">
              <w:rPr>
                <w:rFonts w:ascii="Times New Roman" w:hAnsi="Times New Roman" w:cs="Times New Roman"/>
                <w:sz w:val="24"/>
                <w:szCs w:val="24"/>
              </w:rPr>
              <w:t xml:space="preserve">piešķirtā finansējuma izlietošanu gadījumos, kad </w:t>
            </w:r>
            <w:r w:rsidR="00606506" w:rsidRPr="00606506">
              <w:rPr>
                <w:rFonts w:ascii="Times New Roman" w:hAnsi="Times New Roman" w:cs="Times New Roman"/>
                <w:sz w:val="24"/>
                <w:szCs w:val="24"/>
              </w:rPr>
              <w:t>apvienību veidojošas politiskās organizācijas (partijas) Saeimas, pašvaldību domes vai Eiropas Parlamenta vēlēšanās iesniedz atsevišķu kandidātu sarakstu</w:t>
            </w:r>
            <w:r w:rsidR="00606506">
              <w:rPr>
                <w:rFonts w:ascii="Times New Roman" w:hAnsi="Times New Roman" w:cs="Times New Roman"/>
                <w:sz w:val="24"/>
                <w:szCs w:val="24"/>
              </w:rPr>
              <w:t xml:space="preserve">, kā arī </w:t>
            </w:r>
            <w:r w:rsidR="00904AEF">
              <w:rPr>
                <w:rFonts w:ascii="Times New Roman" w:hAnsi="Times New Roman" w:cs="Times New Roman"/>
                <w:sz w:val="24"/>
                <w:szCs w:val="24"/>
              </w:rPr>
              <w:t xml:space="preserve">jautājums par </w:t>
            </w:r>
            <w:r w:rsidR="00606506">
              <w:rPr>
                <w:rFonts w:ascii="Times New Roman" w:hAnsi="Times New Roman" w:cs="Times New Roman"/>
                <w:sz w:val="24"/>
                <w:szCs w:val="24"/>
              </w:rPr>
              <w:t>finansējuma izmantošan</w:t>
            </w:r>
            <w:r w:rsidR="00904AEF">
              <w:rPr>
                <w:rFonts w:ascii="Times New Roman" w:hAnsi="Times New Roman" w:cs="Times New Roman"/>
                <w:sz w:val="24"/>
                <w:szCs w:val="24"/>
              </w:rPr>
              <w:t>u</w:t>
            </w:r>
            <w:r w:rsidR="00606506">
              <w:rPr>
                <w:rFonts w:ascii="Times New Roman" w:hAnsi="Times New Roman" w:cs="Times New Roman"/>
                <w:sz w:val="24"/>
                <w:szCs w:val="24"/>
              </w:rPr>
              <w:t xml:space="preserve"> gadījumos, ja </w:t>
            </w:r>
            <w:r w:rsidR="00606506" w:rsidRPr="00606506">
              <w:rPr>
                <w:rFonts w:ascii="Times New Roman" w:hAnsi="Times New Roman" w:cs="Times New Roman"/>
                <w:sz w:val="24"/>
                <w:szCs w:val="24"/>
              </w:rPr>
              <w:t>politisko organizāciju (partiju) vai to apvienības, kas nesaņem valsts budžeta finansējumu, apvienoju</w:t>
            </w:r>
            <w:r w:rsidR="00904AEF">
              <w:rPr>
                <w:rFonts w:ascii="Times New Roman" w:hAnsi="Times New Roman" w:cs="Times New Roman"/>
                <w:sz w:val="24"/>
                <w:szCs w:val="24"/>
              </w:rPr>
              <w:t>šās</w:t>
            </w:r>
            <w:r w:rsidR="00606506" w:rsidRPr="00606506">
              <w:rPr>
                <w:rFonts w:ascii="Times New Roman" w:hAnsi="Times New Roman" w:cs="Times New Roman"/>
                <w:sz w:val="24"/>
                <w:szCs w:val="24"/>
              </w:rPr>
              <w:t xml:space="preserve"> </w:t>
            </w:r>
            <w:r w:rsidR="00904AEF">
              <w:rPr>
                <w:rFonts w:ascii="Times New Roman" w:hAnsi="Times New Roman" w:cs="Times New Roman"/>
                <w:sz w:val="24"/>
                <w:szCs w:val="24"/>
              </w:rPr>
              <w:t xml:space="preserve">ar </w:t>
            </w:r>
            <w:r w:rsidR="00606506" w:rsidRPr="00606506">
              <w:rPr>
                <w:rFonts w:ascii="Times New Roman" w:hAnsi="Times New Roman" w:cs="Times New Roman"/>
                <w:sz w:val="24"/>
                <w:szCs w:val="24"/>
              </w:rPr>
              <w:t>politisk</w:t>
            </w:r>
            <w:r w:rsidR="00904AEF">
              <w:rPr>
                <w:rFonts w:ascii="Times New Roman" w:hAnsi="Times New Roman" w:cs="Times New Roman"/>
                <w:sz w:val="24"/>
                <w:szCs w:val="24"/>
              </w:rPr>
              <w:t>o</w:t>
            </w:r>
            <w:r w:rsidR="00606506" w:rsidRPr="00606506">
              <w:rPr>
                <w:rFonts w:ascii="Times New Roman" w:hAnsi="Times New Roman" w:cs="Times New Roman"/>
                <w:sz w:val="24"/>
                <w:szCs w:val="24"/>
              </w:rPr>
              <w:t xml:space="preserve"> organizācij</w:t>
            </w:r>
            <w:r w:rsidR="00904AEF">
              <w:rPr>
                <w:rFonts w:ascii="Times New Roman" w:hAnsi="Times New Roman" w:cs="Times New Roman"/>
                <w:sz w:val="24"/>
                <w:szCs w:val="24"/>
              </w:rPr>
              <w:t>u</w:t>
            </w:r>
            <w:r w:rsidR="00606506" w:rsidRPr="00606506">
              <w:rPr>
                <w:rFonts w:ascii="Times New Roman" w:hAnsi="Times New Roman" w:cs="Times New Roman"/>
                <w:sz w:val="24"/>
                <w:szCs w:val="24"/>
              </w:rPr>
              <w:t xml:space="preserve"> (partij</w:t>
            </w:r>
            <w:r w:rsidR="00904AEF">
              <w:rPr>
                <w:rFonts w:ascii="Times New Roman" w:hAnsi="Times New Roman" w:cs="Times New Roman"/>
                <w:sz w:val="24"/>
                <w:szCs w:val="24"/>
              </w:rPr>
              <w:t>u</w:t>
            </w:r>
            <w:r w:rsidR="00606506" w:rsidRPr="00606506">
              <w:rPr>
                <w:rFonts w:ascii="Times New Roman" w:hAnsi="Times New Roman" w:cs="Times New Roman"/>
                <w:sz w:val="24"/>
                <w:szCs w:val="24"/>
              </w:rPr>
              <w:t>) vai to apvienīb</w:t>
            </w:r>
            <w:r w:rsidR="00904AEF">
              <w:rPr>
                <w:rFonts w:ascii="Times New Roman" w:hAnsi="Times New Roman" w:cs="Times New Roman"/>
                <w:sz w:val="24"/>
                <w:szCs w:val="24"/>
              </w:rPr>
              <w:t>u</w:t>
            </w:r>
            <w:r w:rsidR="00606506" w:rsidRPr="00606506">
              <w:rPr>
                <w:rFonts w:ascii="Times New Roman" w:hAnsi="Times New Roman" w:cs="Times New Roman"/>
                <w:sz w:val="24"/>
                <w:szCs w:val="24"/>
              </w:rPr>
              <w:t xml:space="preserve">, kas saņem valsts budžeta finansējumu, </w:t>
            </w:r>
            <w:r w:rsidR="00606506">
              <w:rPr>
                <w:rFonts w:ascii="Times New Roman" w:hAnsi="Times New Roman" w:cs="Times New Roman"/>
                <w:sz w:val="24"/>
                <w:szCs w:val="24"/>
              </w:rPr>
              <w:t xml:space="preserve">vai </w:t>
            </w:r>
            <w:r w:rsidR="00606506" w:rsidRPr="00606506">
              <w:rPr>
                <w:rFonts w:ascii="Times New Roman" w:hAnsi="Times New Roman" w:cs="Times New Roman"/>
                <w:sz w:val="24"/>
                <w:szCs w:val="24"/>
              </w:rPr>
              <w:t>iesniedz kopīgu kandidātu sarakstu pašvaldību domes vēlēšanās</w:t>
            </w:r>
            <w:r w:rsidR="00262A3C">
              <w:rPr>
                <w:rFonts w:ascii="Times New Roman" w:hAnsi="Times New Roman" w:cs="Times New Roman"/>
                <w:sz w:val="24"/>
                <w:szCs w:val="24"/>
              </w:rPr>
              <w:t xml:space="preserve">. Tādējādi </w:t>
            </w:r>
            <w:r w:rsidR="00302A37">
              <w:rPr>
                <w:rFonts w:ascii="Times New Roman" w:hAnsi="Times New Roman" w:cs="Times New Roman"/>
                <w:sz w:val="24"/>
                <w:szCs w:val="24"/>
              </w:rPr>
              <w:t>P</w:t>
            </w:r>
            <w:r w:rsidR="00262A3C">
              <w:rPr>
                <w:rFonts w:ascii="Times New Roman" w:hAnsi="Times New Roman" w:cs="Times New Roman"/>
                <w:sz w:val="24"/>
                <w:szCs w:val="24"/>
              </w:rPr>
              <w:t>rojektā ir noteikti valsts budžeta finansējuma izlietošanas ierobežojumi minētajos gadījumos, ievērojot finansējuma mērķi</w:t>
            </w:r>
            <w:r w:rsidR="004013F8">
              <w:rPr>
                <w:rFonts w:ascii="Times New Roman" w:hAnsi="Times New Roman" w:cs="Times New Roman"/>
                <w:sz w:val="24"/>
                <w:szCs w:val="24"/>
              </w:rPr>
              <w:t xml:space="preserve"> un būtību, proti, finansējumu saņem politisks veidojums, par kuru vēlētāji ir atdevuši balsis.</w:t>
            </w:r>
          </w:p>
          <w:p w14:paraId="6F7D52CC" w14:textId="7A3DDCC8" w:rsidR="00AC4D7F" w:rsidRDefault="00B370C0" w:rsidP="00495A19">
            <w:pPr>
              <w:pStyle w:val="NoSpacing"/>
              <w:jc w:val="both"/>
              <w:rPr>
                <w:rFonts w:ascii="Times New Roman" w:hAnsi="Times New Roman" w:cs="Times New Roman"/>
                <w:sz w:val="24"/>
                <w:szCs w:val="24"/>
              </w:rPr>
            </w:pPr>
            <w:r>
              <w:rPr>
                <w:rFonts w:ascii="Times New Roman" w:hAnsi="Times New Roman" w:cs="Times New Roman"/>
                <w:sz w:val="24"/>
                <w:szCs w:val="24"/>
              </w:rPr>
              <w:t>Projektā iekļauta metode, ko Birojs piemēro</w:t>
            </w:r>
            <w:r w:rsidRPr="00B370C0">
              <w:rPr>
                <w:rFonts w:ascii="Times New Roman" w:hAnsi="Times New Roman" w:cs="Times New Roman"/>
                <w:sz w:val="24"/>
                <w:szCs w:val="24"/>
              </w:rPr>
              <w:t>, pārbaudot, vai iegādātā lieta vai pakalpojums nav ekskluzīvs un atbilst tirgus vērtībai</w:t>
            </w:r>
            <w:r>
              <w:rPr>
                <w:rFonts w:ascii="Times New Roman" w:hAnsi="Times New Roman" w:cs="Times New Roman"/>
                <w:sz w:val="24"/>
                <w:szCs w:val="24"/>
              </w:rPr>
              <w:t xml:space="preserve">. </w:t>
            </w:r>
            <w:r w:rsidR="00642D32">
              <w:rPr>
                <w:rFonts w:ascii="Times New Roman" w:hAnsi="Times New Roman" w:cs="Times New Roman"/>
                <w:sz w:val="24"/>
                <w:szCs w:val="24"/>
              </w:rPr>
              <w:t>Kā norādīja Birojs, ir svarīgi, lai, izmantojot valsts budžeta līdzekļus, politiskās partijas preces un pakalpojumus iegādātos, vadoties no adekvāti izprotamiem un ekonomiski pamatotiem kritērijiem (piemēram, nebūtu pieļaujami gadījumi, kad strauji pieaug preces vai pakalpojuma cena,</w:t>
            </w:r>
            <w:r w:rsidR="009D0212">
              <w:rPr>
                <w:rFonts w:ascii="Times New Roman" w:hAnsi="Times New Roman" w:cs="Times New Roman"/>
                <w:sz w:val="24"/>
                <w:szCs w:val="24"/>
              </w:rPr>
              <w:t xml:space="preserve"> </w:t>
            </w:r>
            <w:r w:rsidR="00642D32">
              <w:rPr>
                <w:rFonts w:ascii="Times New Roman" w:hAnsi="Times New Roman" w:cs="Times New Roman"/>
                <w:sz w:val="24"/>
                <w:szCs w:val="24"/>
              </w:rPr>
              <w:t xml:space="preserve">utt.). </w:t>
            </w:r>
            <w:r>
              <w:rPr>
                <w:rFonts w:ascii="Times New Roman" w:hAnsi="Times New Roman" w:cs="Times New Roman"/>
                <w:sz w:val="24"/>
                <w:szCs w:val="24"/>
              </w:rPr>
              <w:t xml:space="preserve">Uzsverams, ka Birojam jebkurā gadījumā </w:t>
            </w:r>
            <w:r w:rsidR="001140DA">
              <w:rPr>
                <w:rFonts w:ascii="Times New Roman" w:hAnsi="Times New Roman" w:cs="Times New Roman"/>
                <w:sz w:val="24"/>
                <w:szCs w:val="24"/>
              </w:rPr>
              <w:t xml:space="preserve">ir pienākums uzklausīt politiskās organizācijas (partijas) viedokli par izdevumu nepieciešamību un lietderību </w:t>
            </w:r>
            <w:r>
              <w:rPr>
                <w:rFonts w:ascii="Times New Roman" w:hAnsi="Times New Roman" w:cs="Times New Roman"/>
                <w:sz w:val="24"/>
                <w:szCs w:val="24"/>
              </w:rPr>
              <w:t xml:space="preserve">atbilstoši Administratīvā procesa likuma </w:t>
            </w:r>
            <w:r w:rsidR="001140DA">
              <w:rPr>
                <w:rFonts w:ascii="Times New Roman" w:hAnsi="Times New Roman" w:cs="Times New Roman"/>
                <w:sz w:val="24"/>
                <w:szCs w:val="24"/>
              </w:rPr>
              <w:t xml:space="preserve">62. pantam. </w:t>
            </w:r>
            <w:r w:rsidR="00706672">
              <w:rPr>
                <w:rFonts w:ascii="Times New Roman" w:hAnsi="Times New Roman" w:cs="Times New Roman"/>
                <w:sz w:val="24"/>
                <w:szCs w:val="24"/>
              </w:rPr>
              <w:t xml:space="preserve">Darba grupas sanāksmē Birojs informēja, ka reizi gadā tiek organizētas apmācības par politisko partiju finansēšanas tēmu, kas dod iespēju Birojam un politiskajām partijām pārrunāt aktualitātes šajā jomā. </w:t>
            </w:r>
            <w:r w:rsidR="007B59FA">
              <w:rPr>
                <w:rFonts w:ascii="Times New Roman" w:hAnsi="Times New Roman" w:cs="Times New Roman"/>
                <w:sz w:val="24"/>
                <w:szCs w:val="24"/>
              </w:rPr>
              <w:t xml:space="preserve">Tāpat informācija par minēto tēmu ir </w:t>
            </w:r>
            <w:r w:rsidR="00ED5F1E">
              <w:rPr>
                <w:rFonts w:ascii="Times New Roman" w:hAnsi="Times New Roman" w:cs="Times New Roman"/>
                <w:sz w:val="24"/>
                <w:szCs w:val="24"/>
              </w:rPr>
              <w:t>publicēta</w:t>
            </w:r>
            <w:r w:rsidR="007B59FA">
              <w:rPr>
                <w:rFonts w:ascii="Times New Roman" w:hAnsi="Times New Roman" w:cs="Times New Roman"/>
                <w:sz w:val="24"/>
                <w:szCs w:val="24"/>
              </w:rPr>
              <w:t xml:space="preserve"> Biroja mājaslapā</w:t>
            </w:r>
            <w:r w:rsidR="00ED5F1E">
              <w:rPr>
                <w:rFonts w:ascii="Times New Roman" w:hAnsi="Times New Roman" w:cs="Times New Roman"/>
                <w:sz w:val="24"/>
                <w:szCs w:val="24"/>
              </w:rPr>
              <w:t>.</w:t>
            </w:r>
          </w:p>
          <w:p w14:paraId="3DFB74F1" w14:textId="1F4CDD0F" w:rsidR="00AC78A8" w:rsidRPr="008058BA" w:rsidRDefault="00AC78A8" w:rsidP="008058BA">
            <w:pPr>
              <w:spacing w:after="0"/>
              <w:ind w:firstLine="720"/>
              <w:jc w:val="both"/>
              <w:rPr>
                <w:rFonts w:ascii="Times New Roman" w:eastAsia="Times New Roman" w:hAnsi="Times New Roman" w:cs="Times New Roman"/>
                <w:color w:val="auto"/>
                <w:sz w:val="24"/>
                <w:szCs w:val="24"/>
              </w:rPr>
            </w:pPr>
            <w:r>
              <w:rPr>
                <w:rFonts w:ascii="Times New Roman" w:hAnsi="Times New Roman" w:cs="Times New Roman"/>
                <w:sz w:val="24"/>
                <w:szCs w:val="24"/>
              </w:rPr>
              <w:t>Projektā paredzēts, ka p</w:t>
            </w:r>
            <w:r w:rsidRPr="00AC78A8">
              <w:rPr>
                <w:rFonts w:ascii="Times New Roman" w:hAnsi="Times New Roman" w:cs="Times New Roman"/>
                <w:sz w:val="24"/>
                <w:szCs w:val="24"/>
              </w:rPr>
              <w:t>olitiskā organizācija (partija) un politisko organizāciju (partiju) apvienība iesniedz valsts budžeta finansējuma izlietošanas pamatojuma dokumentus Korupcijas novēršanas un apkarošanas birojam mēneša laikā pēc gada pārskata iesniegšanas.</w:t>
            </w:r>
            <w:r>
              <w:rPr>
                <w:rFonts w:ascii="Times New Roman" w:hAnsi="Times New Roman" w:cs="Times New Roman"/>
                <w:sz w:val="24"/>
                <w:szCs w:val="24"/>
              </w:rPr>
              <w:t xml:space="preserve"> </w:t>
            </w:r>
            <w:r w:rsidR="008058BA">
              <w:rPr>
                <w:rFonts w:ascii="Times New Roman" w:hAnsi="Times New Roman" w:cs="Times New Roman"/>
                <w:sz w:val="24"/>
                <w:szCs w:val="24"/>
              </w:rPr>
              <w:t>Š</w:t>
            </w:r>
            <w:r w:rsidR="008058BA" w:rsidRPr="008058BA">
              <w:rPr>
                <w:rFonts w:ascii="Times New Roman" w:eastAsia="Times New Roman" w:hAnsi="Times New Roman" w:cs="Times New Roman"/>
                <w:color w:val="auto"/>
                <w:sz w:val="24"/>
                <w:szCs w:val="24"/>
              </w:rPr>
              <w:t>obrīd Birojs savas kompetences ietvaros, kontrolējot politisko organizāciju (partiju) finansēšanas noteikumu izpildi un veicot grāmatvedības pārbaudes, pieprasa un saņem nepieciešamos dokumentus. Tāpat uzsveram</w:t>
            </w:r>
            <w:r w:rsidR="0093235E">
              <w:rPr>
                <w:rFonts w:ascii="Times New Roman" w:eastAsia="Times New Roman" w:hAnsi="Times New Roman" w:cs="Times New Roman"/>
                <w:color w:val="auto"/>
                <w:sz w:val="24"/>
                <w:szCs w:val="24"/>
              </w:rPr>
              <w:t>s</w:t>
            </w:r>
            <w:r w:rsidR="008058BA" w:rsidRPr="008058BA">
              <w:rPr>
                <w:rFonts w:ascii="Times New Roman" w:eastAsia="Times New Roman" w:hAnsi="Times New Roman" w:cs="Times New Roman"/>
                <w:color w:val="auto"/>
                <w:sz w:val="24"/>
                <w:szCs w:val="24"/>
              </w:rPr>
              <w:t>, ka saskaņā ar Korupcijas novēršanas un apkarošanas biroja likuma 10.</w:t>
            </w:r>
            <w:r w:rsidR="0093235E">
              <w:rPr>
                <w:rFonts w:ascii="Times New Roman" w:eastAsia="Times New Roman" w:hAnsi="Times New Roman" w:cs="Times New Roman"/>
                <w:color w:val="auto"/>
                <w:sz w:val="24"/>
                <w:szCs w:val="24"/>
              </w:rPr>
              <w:t> </w:t>
            </w:r>
            <w:r w:rsidR="008058BA" w:rsidRPr="008058BA">
              <w:rPr>
                <w:rFonts w:ascii="Times New Roman" w:eastAsia="Times New Roman" w:hAnsi="Times New Roman" w:cs="Times New Roman"/>
                <w:color w:val="auto"/>
                <w:sz w:val="24"/>
                <w:szCs w:val="24"/>
              </w:rPr>
              <w:t>panta pirmās daļas 4.</w:t>
            </w:r>
            <w:r w:rsidR="0093235E">
              <w:rPr>
                <w:rFonts w:ascii="Times New Roman" w:eastAsia="Times New Roman" w:hAnsi="Times New Roman" w:cs="Times New Roman"/>
                <w:color w:val="auto"/>
                <w:sz w:val="24"/>
                <w:szCs w:val="24"/>
              </w:rPr>
              <w:t> </w:t>
            </w:r>
            <w:r w:rsidR="008058BA" w:rsidRPr="008058BA">
              <w:rPr>
                <w:rFonts w:ascii="Times New Roman" w:eastAsia="Times New Roman" w:hAnsi="Times New Roman" w:cs="Times New Roman"/>
                <w:color w:val="auto"/>
                <w:sz w:val="24"/>
                <w:szCs w:val="24"/>
              </w:rPr>
              <w:t xml:space="preserve">punktu Biroja amatpersonai atbilstoši tās kompetencei ir tiesības pieprasīt un saņemt bez maksas no valsts pārvaldes un pašvaldību iestādēm, uzņēmumiem (uzņēmējsabiedrībām), organizācijām, amatpersonām un citām personām informāciju, dokumentus un citus materiālus neatkarīgi no to slepenības režīma. Attiecīgi pārbaudes ietvaros Birojam tiek iesniegti attaisnojuma dokumentu oriģināli, kuri pēc pārbaudes pabeigšanas tiek atdoti iesniedzējam. Atbilstoši </w:t>
            </w:r>
            <w:r w:rsidR="008B6403">
              <w:rPr>
                <w:rFonts w:ascii="Times New Roman" w:eastAsia="Times New Roman" w:hAnsi="Times New Roman" w:cs="Times New Roman"/>
                <w:color w:val="auto"/>
                <w:sz w:val="24"/>
                <w:szCs w:val="24"/>
              </w:rPr>
              <w:t>L</w:t>
            </w:r>
            <w:r w:rsidR="008B6403" w:rsidRPr="008058BA">
              <w:rPr>
                <w:rFonts w:ascii="Times New Roman" w:eastAsia="Times New Roman" w:hAnsi="Times New Roman" w:cs="Times New Roman"/>
                <w:color w:val="auto"/>
                <w:sz w:val="24"/>
                <w:szCs w:val="24"/>
              </w:rPr>
              <w:t>ikuma</w:t>
            </w:r>
            <w:r w:rsidR="008B6403">
              <w:rPr>
                <w:rFonts w:ascii="Times New Roman" w:eastAsia="Times New Roman" w:hAnsi="Times New Roman" w:cs="Times New Roman"/>
                <w:color w:val="auto"/>
                <w:sz w:val="24"/>
                <w:szCs w:val="24"/>
              </w:rPr>
              <w:t xml:space="preserve"> </w:t>
            </w:r>
            <w:r w:rsidR="008058BA" w:rsidRPr="008058BA">
              <w:rPr>
                <w:rFonts w:ascii="Times New Roman" w:eastAsia="Times New Roman" w:hAnsi="Times New Roman" w:cs="Times New Roman"/>
                <w:color w:val="auto"/>
                <w:sz w:val="24"/>
                <w:szCs w:val="24"/>
              </w:rPr>
              <w:t xml:space="preserve"> 8.</w:t>
            </w:r>
            <w:r w:rsidR="008058BA" w:rsidRPr="008058BA">
              <w:rPr>
                <w:rFonts w:ascii="Times New Roman" w:eastAsia="Times New Roman" w:hAnsi="Times New Roman" w:cs="Times New Roman"/>
                <w:color w:val="auto"/>
                <w:sz w:val="24"/>
                <w:szCs w:val="24"/>
                <w:vertAlign w:val="superscript"/>
              </w:rPr>
              <w:t xml:space="preserve">5 </w:t>
            </w:r>
            <w:r w:rsidR="008058BA" w:rsidRPr="008058BA">
              <w:rPr>
                <w:rFonts w:ascii="Times New Roman" w:eastAsia="Times New Roman" w:hAnsi="Times New Roman" w:cs="Times New Roman"/>
                <w:color w:val="auto"/>
                <w:sz w:val="24"/>
                <w:szCs w:val="24"/>
              </w:rPr>
              <w:t xml:space="preserve">panta ceturtajai daļai Birojs gada pārskatus, tai skaitā par valsts budžeta finansējuma izlietojumu, izvērtējot riska prioritātes, pārbauda un līdz nākamā gada 1.aprīlim par atklātajiem politisko organizāciju (partiju) vai to apvienību finansēšanas noteikumu pārkāpumiem, kā arī par pasākumiem, kas veikti to novēršanai, informē sabiedrību vienlaikus. Šāda kārtība šobrīd nodrošina efektīvu kontroli pār valsts budžeta </w:t>
            </w:r>
            <w:r w:rsidR="008058BA" w:rsidRPr="008058BA">
              <w:rPr>
                <w:rFonts w:ascii="Times New Roman" w:eastAsia="Times New Roman" w:hAnsi="Times New Roman" w:cs="Times New Roman"/>
                <w:color w:val="auto"/>
                <w:sz w:val="24"/>
                <w:szCs w:val="24"/>
              </w:rPr>
              <w:lastRenderedPageBreak/>
              <w:t>izlietojuma likumību un pierādījumu nodrošināšanu administratīvajā procesā, un būtu saglabājama.</w:t>
            </w:r>
          </w:p>
        </w:tc>
      </w:tr>
      <w:tr w:rsidR="0064585B" w:rsidRPr="0064585B" w14:paraId="18F9A715" w14:textId="77777777" w:rsidTr="00E0068F">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BFD98DD"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lastRenderedPageBreak/>
              <w:t>3.</w:t>
            </w:r>
          </w:p>
        </w:tc>
        <w:tc>
          <w:tcPr>
            <w:tcW w:w="1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ADE1F0A"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Projekta izstrādē iesaistītās institūcijas un publiskas personas kapitālsabiedrības</w:t>
            </w:r>
          </w:p>
        </w:tc>
        <w:tc>
          <w:tcPr>
            <w:tcW w:w="66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659AAC8" w14:textId="58A0E5D4" w:rsidR="00D93A15" w:rsidRPr="0064585B" w:rsidRDefault="00E0068F">
            <w:pPr>
              <w:spacing w:after="0" w:line="240" w:lineRule="auto"/>
              <w:jc w:val="both"/>
              <w:rPr>
                <w:rFonts w:ascii="Times New Roman" w:hAnsi="Times New Roman" w:cs="Times New Roman"/>
                <w:color w:val="auto"/>
                <w:sz w:val="24"/>
                <w:szCs w:val="24"/>
              </w:rPr>
            </w:pPr>
            <w:r w:rsidRPr="00056BB8">
              <w:rPr>
                <w:rFonts w:ascii="Times New Roman" w:hAnsi="Times New Roman" w:cs="Times New Roman"/>
                <w:color w:val="auto"/>
                <w:sz w:val="24"/>
                <w:szCs w:val="24"/>
                <w:lang w:eastAsia="lv-LV"/>
              </w:rPr>
              <w:t xml:space="preserve">Saistībā </w:t>
            </w:r>
            <w:proofErr w:type="gramStart"/>
            <w:r w:rsidRPr="00056BB8">
              <w:rPr>
                <w:rFonts w:ascii="Times New Roman" w:hAnsi="Times New Roman" w:cs="Times New Roman"/>
                <w:color w:val="auto"/>
                <w:sz w:val="24"/>
                <w:szCs w:val="24"/>
                <w:lang w:eastAsia="lv-LV"/>
              </w:rPr>
              <w:t>ar Likuma 7.</w:t>
            </w:r>
            <w:r w:rsidRPr="00AC4AC7">
              <w:rPr>
                <w:rFonts w:ascii="Times New Roman" w:hAnsi="Times New Roman" w:cs="Times New Roman"/>
                <w:color w:val="auto"/>
                <w:sz w:val="24"/>
                <w:szCs w:val="24"/>
                <w:vertAlign w:val="superscript"/>
                <w:lang w:eastAsia="lv-LV"/>
              </w:rPr>
              <w:t>4</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panta 1.</w:t>
            </w:r>
            <w:r w:rsidRPr="00AC4AC7">
              <w:rPr>
                <w:rFonts w:ascii="Times New Roman" w:hAnsi="Times New Roman" w:cs="Times New Roman"/>
                <w:color w:val="auto"/>
                <w:sz w:val="24"/>
                <w:szCs w:val="24"/>
                <w:vertAlign w:val="superscript"/>
                <w:lang w:eastAsia="lv-LV"/>
              </w:rPr>
              <w:t>1</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daļā paredzēto deleģējumu Ministru prezidents</w:t>
            </w:r>
            <w:proofErr w:type="gramEnd"/>
            <w:r w:rsidRPr="00056BB8">
              <w:rPr>
                <w:rFonts w:ascii="Times New Roman" w:hAnsi="Times New Roman" w:cs="Times New Roman"/>
                <w:color w:val="auto"/>
                <w:sz w:val="24"/>
                <w:szCs w:val="24"/>
                <w:lang w:eastAsia="lv-LV"/>
              </w:rPr>
              <w:t xml:space="preserve"> ar 2019.</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16.</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oktobra rezolūciju Nr.</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2019-1.1.1./40-40 uzdeva tieslietu ministram izveidot darba grupu Ministru kabineta noteikumu izstrādei, darba grupā iekļaujot pārstāvjus no Tieslietu ministrijas,</w:t>
            </w:r>
            <w:r w:rsidR="00044967">
              <w:rPr>
                <w:rFonts w:ascii="Times New Roman" w:hAnsi="Times New Roman" w:cs="Times New Roman"/>
                <w:color w:val="auto"/>
                <w:sz w:val="24"/>
                <w:szCs w:val="24"/>
                <w:lang w:eastAsia="lv-LV"/>
              </w:rPr>
              <w:t xml:space="preserve"> </w:t>
            </w:r>
            <w:r>
              <w:rPr>
                <w:rFonts w:ascii="Times New Roman" w:hAnsi="Times New Roman" w:cs="Times New Roman"/>
                <w:color w:val="auto"/>
                <w:sz w:val="24"/>
                <w:szCs w:val="24"/>
                <w:lang w:eastAsia="lv-LV"/>
              </w:rPr>
              <w:t>Biroj</w:t>
            </w:r>
            <w:r w:rsidR="00302A37">
              <w:rPr>
                <w:rFonts w:ascii="Times New Roman" w:hAnsi="Times New Roman" w:cs="Times New Roman"/>
                <w:color w:val="auto"/>
                <w:sz w:val="24"/>
                <w:szCs w:val="24"/>
                <w:lang w:eastAsia="lv-LV"/>
              </w:rPr>
              <w:t>a</w:t>
            </w:r>
            <w:r w:rsidRPr="00056BB8">
              <w:rPr>
                <w:rFonts w:ascii="Times New Roman" w:hAnsi="Times New Roman" w:cs="Times New Roman"/>
                <w:color w:val="auto"/>
                <w:sz w:val="24"/>
                <w:szCs w:val="24"/>
                <w:lang w:eastAsia="lv-LV"/>
              </w:rPr>
              <w:t>, Valsts kancelejas, Valsts prezidenta kancelejas, Finanšu ministrijas, kā arī izvērtēt iespēju darba grupā aicināt pārstāvjus no nevalstiskā sektora un Saeimas frakcijām. Minētā darba grupa uz sanāksmi sanāca</w:t>
            </w:r>
            <w:r>
              <w:rPr>
                <w:rFonts w:ascii="Times New Roman" w:hAnsi="Times New Roman" w:cs="Times New Roman"/>
                <w:color w:val="auto"/>
                <w:sz w:val="24"/>
                <w:szCs w:val="24"/>
                <w:lang w:eastAsia="lv-LV"/>
              </w:rPr>
              <w:t xml:space="preserve"> 2019.</w:t>
            </w:r>
            <w:r w:rsidRPr="00056BB8">
              <w:rPr>
                <w:rFonts w:ascii="Times New Roman" w:hAnsi="Times New Roman" w:cs="Times New Roman"/>
                <w:color w:val="auto"/>
                <w:sz w:val="24"/>
                <w:szCs w:val="24"/>
                <w:lang w:eastAsia="lv-LV"/>
              </w:rPr>
              <w:t>gada 29.</w:t>
            </w:r>
            <w:r>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oktobrī</w:t>
            </w:r>
            <w:r>
              <w:rPr>
                <w:rFonts w:ascii="Times New Roman" w:hAnsi="Times New Roman" w:cs="Times New Roman"/>
                <w:color w:val="auto"/>
                <w:sz w:val="24"/>
                <w:szCs w:val="24"/>
                <w:lang w:eastAsia="lv-LV"/>
              </w:rPr>
              <w:t xml:space="preserve"> un 27. novembrī un Tieslietu ministrijas vadībā izstrādāja Projektu. Darba grupas sastāvā bija </w:t>
            </w:r>
            <w:r w:rsidRPr="009F48FE">
              <w:rPr>
                <w:rFonts w:ascii="Times New Roman" w:hAnsi="Times New Roman" w:cs="Times New Roman"/>
                <w:color w:val="auto"/>
                <w:sz w:val="24"/>
                <w:szCs w:val="24"/>
                <w:lang w:eastAsia="lv-LV"/>
              </w:rPr>
              <w:t>Tieslietu ministrijas, Biroja, Valsts prezidenta kancelejas, Finanšu ministrijas, Saeimas</w:t>
            </w:r>
            <w:r>
              <w:rPr>
                <w:rFonts w:ascii="Times New Roman" w:hAnsi="Times New Roman" w:cs="Times New Roman"/>
                <w:color w:val="auto"/>
                <w:sz w:val="24"/>
                <w:szCs w:val="24"/>
                <w:lang w:eastAsia="lv-LV"/>
              </w:rPr>
              <w:t xml:space="preserve"> pozīcijas</w:t>
            </w:r>
            <w:r w:rsidRPr="009F48FE">
              <w:rPr>
                <w:rFonts w:ascii="Times New Roman" w:hAnsi="Times New Roman" w:cs="Times New Roman"/>
                <w:color w:val="auto"/>
                <w:sz w:val="24"/>
                <w:szCs w:val="24"/>
                <w:lang w:eastAsia="lv-LV"/>
              </w:rPr>
              <w:t xml:space="preserve"> frakci</w:t>
            </w:r>
            <w:r>
              <w:rPr>
                <w:rFonts w:ascii="Times New Roman" w:hAnsi="Times New Roman" w:cs="Times New Roman"/>
                <w:color w:val="auto"/>
                <w:sz w:val="24"/>
                <w:szCs w:val="24"/>
                <w:lang w:eastAsia="lv-LV"/>
              </w:rPr>
              <w:t xml:space="preserve">ju, </w:t>
            </w:r>
            <w:r w:rsidRPr="006262A8">
              <w:rPr>
                <w:rFonts w:ascii="Times New Roman" w:hAnsi="Times New Roman" w:cs="Times New Roman"/>
                <w:color w:val="auto"/>
                <w:sz w:val="24"/>
                <w:szCs w:val="24"/>
                <w:lang w:eastAsia="lv-LV"/>
              </w:rPr>
              <w:t>biedrība</w:t>
            </w:r>
            <w:r>
              <w:rPr>
                <w:rFonts w:ascii="Times New Roman" w:hAnsi="Times New Roman" w:cs="Times New Roman"/>
                <w:color w:val="auto"/>
                <w:sz w:val="24"/>
                <w:szCs w:val="24"/>
                <w:lang w:eastAsia="lv-LV"/>
              </w:rPr>
              <w:t>s</w:t>
            </w:r>
            <w:r w:rsidRPr="006262A8">
              <w:rPr>
                <w:rFonts w:ascii="Times New Roman" w:hAnsi="Times New Roman" w:cs="Times New Roman"/>
                <w:color w:val="auto"/>
                <w:sz w:val="24"/>
                <w:szCs w:val="24"/>
                <w:lang w:eastAsia="lv-LV"/>
              </w:rPr>
              <w:t xml:space="preserve"> </w:t>
            </w:r>
            <w:r>
              <w:rPr>
                <w:rFonts w:ascii="Times New Roman" w:hAnsi="Times New Roman" w:cs="Times New Roman"/>
                <w:color w:val="auto"/>
                <w:sz w:val="24"/>
                <w:szCs w:val="24"/>
                <w:lang w:eastAsia="lv-LV"/>
              </w:rPr>
              <w:t>"</w:t>
            </w:r>
            <w:r w:rsidRPr="006262A8">
              <w:rPr>
                <w:rFonts w:ascii="Times New Roman" w:hAnsi="Times New Roman" w:cs="Times New Roman"/>
                <w:color w:val="auto"/>
                <w:sz w:val="24"/>
                <w:szCs w:val="24"/>
                <w:lang w:eastAsia="lv-LV"/>
              </w:rPr>
              <w:t>Sabiedriskās politikas centrs PROVIDUS</w:t>
            </w:r>
            <w:r>
              <w:rPr>
                <w:rFonts w:ascii="Times New Roman" w:hAnsi="Times New Roman" w:cs="Times New Roman"/>
                <w:color w:val="auto"/>
                <w:sz w:val="24"/>
                <w:szCs w:val="24"/>
                <w:lang w:eastAsia="lv-LV"/>
              </w:rPr>
              <w:t xml:space="preserve">" un </w:t>
            </w:r>
            <w:r w:rsidRPr="006262A8">
              <w:rPr>
                <w:rFonts w:ascii="Times New Roman" w:hAnsi="Times New Roman" w:cs="Times New Roman"/>
                <w:color w:val="auto"/>
                <w:sz w:val="24"/>
                <w:szCs w:val="24"/>
                <w:lang w:eastAsia="lv-LV"/>
              </w:rPr>
              <w:t>biedrība</w:t>
            </w:r>
            <w:r>
              <w:rPr>
                <w:rFonts w:ascii="Times New Roman" w:hAnsi="Times New Roman" w:cs="Times New Roman"/>
                <w:color w:val="auto"/>
                <w:sz w:val="24"/>
                <w:szCs w:val="24"/>
                <w:lang w:eastAsia="lv-LV"/>
              </w:rPr>
              <w:t>s</w:t>
            </w:r>
            <w:r w:rsidRPr="006262A8">
              <w:rPr>
                <w:rFonts w:ascii="Times New Roman" w:hAnsi="Times New Roman" w:cs="Times New Roman"/>
                <w:color w:val="auto"/>
                <w:sz w:val="24"/>
                <w:szCs w:val="24"/>
                <w:lang w:eastAsia="lv-LV"/>
              </w:rPr>
              <w:t xml:space="preserve"> </w:t>
            </w:r>
            <w:r>
              <w:rPr>
                <w:rFonts w:ascii="Times New Roman" w:hAnsi="Times New Roman" w:cs="Times New Roman"/>
                <w:color w:val="auto"/>
                <w:sz w:val="24"/>
                <w:szCs w:val="24"/>
                <w:lang w:eastAsia="lv-LV"/>
              </w:rPr>
              <w:t>"</w:t>
            </w:r>
            <w:r w:rsidRPr="006262A8">
              <w:rPr>
                <w:rFonts w:ascii="Times New Roman" w:hAnsi="Times New Roman" w:cs="Times New Roman"/>
                <w:color w:val="auto"/>
                <w:sz w:val="24"/>
                <w:szCs w:val="24"/>
                <w:lang w:eastAsia="lv-LV"/>
              </w:rPr>
              <w:t>Sabiedrība par atklātību – Delna</w:t>
            </w:r>
            <w:r>
              <w:rPr>
                <w:rFonts w:ascii="Times New Roman" w:hAnsi="Times New Roman" w:cs="Times New Roman"/>
                <w:color w:val="auto"/>
                <w:sz w:val="24"/>
                <w:szCs w:val="24"/>
                <w:lang w:eastAsia="lv-LV"/>
              </w:rPr>
              <w:t xml:space="preserve">" pārstāvji. </w:t>
            </w:r>
          </w:p>
        </w:tc>
      </w:tr>
      <w:tr w:rsidR="0064585B" w:rsidRPr="0064585B" w14:paraId="120646E5" w14:textId="77777777" w:rsidTr="00E0068F">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C8B7DBC"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4.</w:t>
            </w:r>
          </w:p>
        </w:tc>
        <w:tc>
          <w:tcPr>
            <w:tcW w:w="1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637C79"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666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AB0C5E" w14:textId="056ECD94"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r w:rsidR="00F839DC">
              <w:rPr>
                <w:rFonts w:ascii="Times New Roman" w:eastAsia="Times New Roman" w:hAnsi="Times New Roman" w:cs="Times New Roman"/>
                <w:iCs/>
                <w:color w:val="auto"/>
                <w:sz w:val="24"/>
                <w:szCs w:val="24"/>
                <w:lang w:eastAsia="lv-LV"/>
              </w:rPr>
              <w:t>.</w:t>
            </w:r>
          </w:p>
        </w:tc>
      </w:tr>
    </w:tbl>
    <w:p w14:paraId="3CF8FE1C" w14:textId="73853CB6" w:rsidR="006122EF"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 xml:space="preserve">  </w:t>
      </w:r>
    </w:p>
    <w:tbl>
      <w:tblPr>
        <w:tblW w:w="5009"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453"/>
        <w:gridCol w:w="2528"/>
        <w:gridCol w:w="6090"/>
      </w:tblGrid>
      <w:tr w:rsidR="001413A4" w:rsidRPr="00001C54" w14:paraId="74A3ADC1" w14:textId="77777777" w:rsidTr="00235E8B">
        <w:tc>
          <w:tcPr>
            <w:tcW w:w="9072"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0512920" w14:textId="77777777" w:rsidR="001413A4" w:rsidRPr="00001C54" w:rsidRDefault="001413A4" w:rsidP="00235E8B">
            <w:pPr>
              <w:spacing w:after="0" w:line="240" w:lineRule="auto"/>
              <w:jc w:val="center"/>
              <w:rPr>
                <w:rFonts w:ascii="Times New Roman" w:eastAsia="Times New Roman" w:hAnsi="Times New Roman" w:cs="Times New Roman"/>
                <w:b/>
                <w:bCs/>
                <w:iCs/>
                <w:color w:val="auto"/>
                <w:sz w:val="24"/>
                <w:szCs w:val="24"/>
                <w:lang w:val="en-US" w:eastAsia="lv-LV"/>
              </w:rPr>
            </w:pPr>
            <w:r w:rsidRPr="00001C54">
              <w:rPr>
                <w:rFonts w:ascii="Times New Roman" w:eastAsia="Times New Roman" w:hAnsi="Times New Roman" w:cs="Times New Roman"/>
                <w:b/>
                <w:bCs/>
                <w:iCs/>
                <w:color w:val="auto"/>
                <w:sz w:val="24"/>
                <w:szCs w:val="24"/>
                <w:lang w:eastAsia="lv-LV"/>
              </w:rPr>
              <w:t>II. Tiesību akta projekta ietekme uz sabiedrību, tautsaimniecības attīstību un administratīvo slogu</w:t>
            </w:r>
          </w:p>
        </w:tc>
      </w:tr>
      <w:tr w:rsidR="001413A4" w:rsidRPr="00001C54" w14:paraId="7FB983F1"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64DAC24"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1.</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CD1B1A1"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Sabiedrības mērķgrupas, kuras tiesiskais regulējums ietekmē</w:t>
            </w:r>
            <w:proofErr w:type="gramStart"/>
            <w:r w:rsidRPr="00001C54">
              <w:rPr>
                <w:rFonts w:ascii="Times New Roman" w:eastAsia="Times New Roman" w:hAnsi="Times New Roman" w:cs="Times New Roman"/>
                <w:iCs/>
                <w:color w:val="auto"/>
                <w:sz w:val="24"/>
                <w:szCs w:val="24"/>
                <w:lang w:eastAsia="lv-LV"/>
              </w:rPr>
              <w:t xml:space="preserve"> vai varētu ietekmēt</w:t>
            </w:r>
            <w:proofErr w:type="gramEnd"/>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3982B15" w14:textId="06D1682F" w:rsidR="001413A4" w:rsidRPr="00001C54" w:rsidRDefault="001413A4" w:rsidP="009C01DD">
            <w:pPr>
              <w:spacing w:after="0" w:line="240" w:lineRule="auto"/>
              <w:jc w:val="both"/>
              <w:rPr>
                <w:rFonts w:ascii="Times New Roman" w:hAnsi="Times New Roman" w:cs="Times New Roman"/>
                <w:color w:val="auto"/>
                <w:sz w:val="24"/>
                <w:szCs w:val="24"/>
              </w:rPr>
            </w:pPr>
            <w:r w:rsidRPr="00001C54">
              <w:rPr>
                <w:rFonts w:ascii="Times New Roman" w:hAnsi="Times New Roman" w:cs="Times New Roman"/>
                <w:color w:val="auto"/>
                <w:sz w:val="24"/>
                <w:szCs w:val="24"/>
              </w:rPr>
              <w:t>Politiskās organizācijas (partijas), visa sabiedrība kopumā</w:t>
            </w:r>
            <w:r w:rsidR="00F839DC">
              <w:rPr>
                <w:rFonts w:ascii="Times New Roman" w:hAnsi="Times New Roman" w:cs="Times New Roman"/>
                <w:color w:val="auto"/>
                <w:sz w:val="24"/>
                <w:szCs w:val="24"/>
              </w:rPr>
              <w:t>.</w:t>
            </w:r>
          </w:p>
        </w:tc>
      </w:tr>
      <w:tr w:rsidR="001413A4" w:rsidRPr="00001C54" w14:paraId="7CBB4537"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07A10D"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2.</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EBA23CC"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Tiesiskā regulējuma ietekme uz tautsaimniecību un administratīvo slogu</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637260B" w14:textId="2A967624" w:rsidR="001413A4" w:rsidRPr="00D5483C" w:rsidRDefault="00D5483C" w:rsidP="00D5483C">
            <w:pPr>
              <w:spacing w:after="0" w:line="240" w:lineRule="auto"/>
              <w:jc w:val="both"/>
              <w:rPr>
                <w:rFonts w:ascii="Times New Roman" w:hAnsi="Times New Roman" w:cs="Times New Roman"/>
                <w:color w:val="auto"/>
                <w:sz w:val="24"/>
                <w:szCs w:val="24"/>
                <w:lang w:eastAsia="lv-LV"/>
              </w:rPr>
            </w:pPr>
            <w:r w:rsidRPr="00D5483C">
              <w:rPr>
                <w:rFonts w:ascii="Times New Roman" w:hAnsi="Times New Roman" w:cs="Times New Roman"/>
                <w:color w:val="auto"/>
                <w:sz w:val="24"/>
                <w:szCs w:val="24"/>
                <w:lang w:eastAsia="lv-LV"/>
              </w:rPr>
              <w:t>Projekts šo jomu neskar</w:t>
            </w:r>
            <w:r w:rsidR="00F839DC">
              <w:rPr>
                <w:rFonts w:ascii="Times New Roman" w:hAnsi="Times New Roman" w:cs="Times New Roman"/>
                <w:color w:val="auto"/>
                <w:sz w:val="24"/>
                <w:szCs w:val="24"/>
                <w:lang w:eastAsia="lv-LV"/>
              </w:rPr>
              <w:t>.</w:t>
            </w:r>
          </w:p>
        </w:tc>
      </w:tr>
      <w:tr w:rsidR="001413A4" w:rsidRPr="00001C54" w14:paraId="7B559EDD"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75B4B4A"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3.</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464168C" w14:textId="77777777" w:rsidR="001413A4" w:rsidRPr="00001C54" w:rsidRDefault="001413A4" w:rsidP="009C01DD">
            <w:pPr>
              <w:spacing w:after="0" w:line="240" w:lineRule="auto"/>
              <w:rPr>
                <w:color w:val="auto"/>
              </w:rPr>
            </w:pPr>
            <w:r w:rsidRPr="00001C54">
              <w:rPr>
                <w:rFonts w:ascii="Times New Roman" w:eastAsia="Times New Roman" w:hAnsi="Times New Roman" w:cs="Times New Roman"/>
                <w:iCs/>
                <w:color w:val="auto"/>
                <w:sz w:val="24"/>
                <w:szCs w:val="24"/>
                <w:lang w:eastAsia="lv-LV"/>
              </w:rPr>
              <w:t>Administratīvo izmaksu monetārs novērtējums</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C1C955" w14:textId="693F1D37" w:rsidR="001413A4" w:rsidRPr="00001C54" w:rsidRDefault="00D5483C" w:rsidP="009C01DD">
            <w:pPr>
              <w:spacing w:after="0" w:line="240" w:lineRule="auto"/>
              <w:jc w:val="both"/>
              <w:rPr>
                <w:rFonts w:ascii="Times New Roman" w:hAnsi="Times New Roman"/>
                <w:color w:val="auto"/>
                <w:sz w:val="24"/>
                <w:szCs w:val="24"/>
              </w:rPr>
            </w:pPr>
            <w:r>
              <w:rPr>
                <w:rFonts w:ascii="Times New Roman" w:hAnsi="Times New Roman"/>
                <w:color w:val="auto"/>
                <w:sz w:val="24"/>
                <w:szCs w:val="24"/>
              </w:rPr>
              <w:t>Projekts šo jomu neskar</w:t>
            </w:r>
            <w:r w:rsidR="00F839DC">
              <w:rPr>
                <w:rFonts w:ascii="Times New Roman" w:hAnsi="Times New Roman"/>
                <w:color w:val="auto"/>
                <w:sz w:val="24"/>
                <w:szCs w:val="24"/>
              </w:rPr>
              <w:t>.</w:t>
            </w:r>
          </w:p>
        </w:tc>
      </w:tr>
      <w:tr w:rsidR="001413A4" w:rsidRPr="00001C54" w14:paraId="6C42CD69"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EBC6E16"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4.</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DD807C0" w14:textId="77777777" w:rsidR="001413A4" w:rsidRPr="00001C54" w:rsidRDefault="001413A4" w:rsidP="009C01DD">
            <w:pPr>
              <w:spacing w:after="0" w:line="240" w:lineRule="auto"/>
              <w:rPr>
                <w:color w:val="auto"/>
              </w:rPr>
            </w:pPr>
            <w:r w:rsidRPr="001361E8">
              <w:rPr>
                <w:rFonts w:ascii="Times New Roman" w:eastAsia="Times New Roman" w:hAnsi="Times New Roman" w:cs="Times New Roman"/>
                <w:iCs/>
                <w:color w:val="auto"/>
                <w:sz w:val="24"/>
                <w:szCs w:val="24"/>
                <w:lang w:eastAsia="lv-LV"/>
              </w:rPr>
              <w:t>Atbilstības izmaksu monetārs novērtējums</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3AE2EB6" w14:textId="3550B487" w:rsidR="001413A4" w:rsidRPr="00001C54" w:rsidRDefault="00D5483C" w:rsidP="009C01DD">
            <w:pPr>
              <w:spacing w:after="0" w:line="240" w:lineRule="auto"/>
              <w:jc w:val="both"/>
              <w:rPr>
                <w:color w:val="auto"/>
              </w:rPr>
            </w:pPr>
            <w:r>
              <w:rPr>
                <w:rFonts w:ascii="Times New Roman" w:hAnsi="Times New Roman"/>
                <w:sz w:val="24"/>
                <w:szCs w:val="24"/>
                <w:lang w:eastAsia="lv-LV"/>
              </w:rPr>
              <w:t>Projekts šo jomu neskar</w:t>
            </w:r>
            <w:r w:rsidR="00F839DC">
              <w:rPr>
                <w:rFonts w:ascii="Times New Roman" w:hAnsi="Times New Roman"/>
                <w:sz w:val="24"/>
                <w:szCs w:val="24"/>
                <w:lang w:eastAsia="lv-LV"/>
              </w:rPr>
              <w:t>.</w:t>
            </w:r>
          </w:p>
        </w:tc>
      </w:tr>
      <w:tr w:rsidR="001413A4" w:rsidRPr="00001C54" w14:paraId="247AA6CE"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CF386B"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DB443B3"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Cita informācija</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7961A46" w14:textId="742A67F2" w:rsidR="001413A4" w:rsidRPr="00001C54" w:rsidRDefault="001413A4" w:rsidP="009C01DD">
            <w:pPr>
              <w:spacing w:after="0" w:line="240" w:lineRule="auto"/>
              <w:rPr>
                <w:color w:val="auto"/>
              </w:rPr>
            </w:pPr>
            <w:r w:rsidRPr="00001C54">
              <w:rPr>
                <w:rFonts w:ascii="Times New Roman" w:eastAsia="Times New Roman" w:hAnsi="Times New Roman" w:cs="Times New Roman"/>
                <w:iCs/>
                <w:color w:val="auto"/>
                <w:sz w:val="24"/>
                <w:szCs w:val="24"/>
                <w:lang w:eastAsia="lv-LV"/>
              </w:rPr>
              <w:t>Nav</w:t>
            </w:r>
            <w:r w:rsidR="00F839DC">
              <w:rPr>
                <w:rFonts w:ascii="Times New Roman" w:eastAsia="Times New Roman" w:hAnsi="Times New Roman" w:cs="Times New Roman"/>
                <w:iCs/>
                <w:color w:val="auto"/>
                <w:sz w:val="24"/>
                <w:szCs w:val="24"/>
                <w:lang w:eastAsia="lv-LV"/>
              </w:rPr>
              <w:t>.</w:t>
            </w:r>
          </w:p>
        </w:tc>
      </w:tr>
    </w:tbl>
    <w:p w14:paraId="74A85C1F" w14:textId="4426F23A" w:rsidR="00F77B92" w:rsidRDefault="001413A4" w:rsidP="001413A4">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  </w:t>
      </w:r>
    </w:p>
    <w:tbl>
      <w:tblPr>
        <w:tblW w:w="5009" w:type="pct"/>
        <w:tblInd w:w="-8"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71"/>
      </w:tblGrid>
      <w:tr w:rsidR="00D5483C" w:rsidRPr="0064585B" w14:paraId="251E17BF" w14:textId="77777777" w:rsidTr="00235E8B">
        <w:tc>
          <w:tcPr>
            <w:tcW w:w="9072" w:type="dxa"/>
            <w:tcBorders>
              <w:top w:val="outset" w:sz="6" w:space="0" w:color="00000A"/>
              <w:left w:val="outset" w:sz="6" w:space="0" w:color="00000A"/>
              <w:right w:val="outset" w:sz="6" w:space="0" w:color="00000A"/>
            </w:tcBorders>
            <w:shd w:val="clear" w:color="auto" w:fill="auto"/>
            <w:tcMar>
              <w:left w:w="-22" w:type="dxa"/>
            </w:tcMar>
            <w:vAlign w:val="center"/>
          </w:tcPr>
          <w:p w14:paraId="506DF35D" w14:textId="1B9923A2" w:rsidR="00D5483C" w:rsidRPr="00D5483C" w:rsidRDefault="00D5483C" w:rsidP="00235E8B">
            <w:pPr>
              <w:spacing w:after="0" w:line="240" w:lineRule="auto"/>
              <w:jc w:val="center"/>
              <w:rPr>
                <w:rFonts w:ascii="Times New Roman" w:eastAsia="Times New Roman" w:hAnsi="Times New Roman" w:cs="Times New Roman"/>
                <w:b/>
                <w:bCs/>
                <w:iCs/>
                <w:color w:val="auto"/>
                <w:sz w:val="24"/>
                <w:szCs w:val="24"/>
                <w:lang w:eastAsia="lv-LV"/>
              </w:rPr>
            </w:pPr>
            <w:r>
              <w:rPr>
                <w:rFonts w:ascii="Times New Roman" w:eastAsia="Times New Roman" w:hAnsi="Times New Roman" w:cs="Times New Roman"/>
                <w:b/>
                <w:bCs/>
                <w:iCs/>
                <w:color w:val="auto"/>
                <w:sz w:val="24"/>
                <w:szCs w:val="24"/>
                <w:lang w:eastAsia="lv-LV"/>
              </w:rPr>
              <w:t>III</w:t>
            </w:r>
            <w:r w:rsidRPr="0064585B">
              <w:rPr>
                <w:rFonts w:ascii="Times New Roman" w:eastAsia="Times New Roman" w:hAnsi="Times New Roman" w:cs="Times New Roman"/>
                <w:b/>
                <w:bCs/>
                <w:iCs/>
                <w:color w:val="auto"/>
                <w:sz w:val="24"/>
                <w:szCs w:val="24"/>
                <w:lang w:eastAsia="lv-LV"/>
              </w:rPr>
              <w:t xml:space="preserve">. </w:t>
            </w:r>
            <w:r w:rsidRPr="00D5483C">
              <w:rPr>
                <w:rFonts w:ascii="Times New Roman" w:eastAsia="Times New Roman" w:hAnsi="Times New Roman" w:cs="Times New Roman"/>
                <w:b/>
                <w:bCs/>
                <w:iCs/>
                <w:color w:val="auto"/>
                <w:sz w:val="24"/>
                <w:szCs w:val="24"/>
                <w:lang w:eastAsia="lv-LV"/>
              </w:rPr>
              <w:t>Tiesību akta projekta ietekme uz valsts budžetu un pašvaldību budžetiem</w:t>
            </w:r>
          </w:p>
        </w:tc>
      </w:tr>
      <w:tr w:rsidR="00D5483C" w:rsidRPr="0064585B" w14:paraId="2037061D" w14:textId="77777777" w:rsidTr="00235E8B">
        <w:tc>
          <w:tcPr>
            <w:tcW w:w="90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E81AF84" w14:textId="19E2A501" w:rsidR="00D5483C" w:rsidRPr="0064585B" w:rsidRDefault="00D5483C" w:rsidP="00DF27ED">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r w:rsidR="00F839DC">
              <w:rPr>
                <w:rFonts w:ascii="Times New Roman" w:hAnsi="Times New Roman"/>
                <w:color w:val="auto"/>
                <w:sz w:val="24"/>
                <w:szCs w:val="24"/>
              </w:rPr>
              <w:t>.</w:t>
            </w:r>
          </w:p>
        </w:tc>
      </w:tr>
    </w:tbl>
    <w:p w14:paraId="77D622AD" w14:textId="252784B9" w:rsidR="00A27E98" w:rsidRPr="0064585B" w:rsidRDefault="00A27E98">
      <w:pPr>
        <w:spacing w:after="0" w:line="240" w:lineRule="auto"/>
        <w:rPr>
          <w:rFonts w:ascii="Times New Roman" w:eastAsia="Times New Roman" w:hAnsi="Times New Roman" w:cs="Times New Roman"/>
          <w:iCs/>
          <w:color w:val="auto"/>
          <w:sz w:val="24"/>
          <w:szCs w:val="24"/>
          <w:lang w:eastAsia="lv-LV"/>
        </w:rPr>
      </w:pPr>
    </w:p>
    <w:tbl>
      <w:tblPr>
        <w:tblW w:w="5009" w:type="pct"/>
        <w:tblInd w:w="-8"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71"/>
      </w:tblGrid>
      <w:tr w:rsidR="009C0B30" w:rsidRPr="0064585B" w14:paraId="41F07A09" w14:textId="77777777" w:rsidTr="00235E8B">
        <w:tc>
          <w:tcPr>
            <w:tcW w:w="9072" w:type="dxa"/>
            <w:tcBorders>
              <w:top w:val="outset" w:sz="6" w:space="0" w:color="00000A"/>
              <w:left w:val="outset" w:sz="6" w:space="0" w:color="00000A"/>
              <w:right w:val="outset" w:sz="6" w:space="0" w:color="00000A"/>
            </w:tcBorders>
            <w:shd w:val="clear" w:color="auto" w:fill="auto"/>
            <w:tcMar>
              <w:left w:w="-22" w:type="dxa"/>
            </w:tcMar>
            <w:vAlign w:val="center"/>
          </w:tcPr>
          <w:p w14:paraId="2B8900CD" w14:textId="44F4E6EE" w:rsidR="009C0B30" w:rsidRPr="00D5483C" w:rsidRDefault="009C0B30" w:rsidP="00235E8B">
            <w:pPr>
              <w:spacing w:after="0" w:line="240" w:lineRule="auto"/>
              <w:jc w:val="center"/>
              <w:rPr>
                <w:rFonts w:ascii="Times New Roman" w:eastAsia="Times New Roman" w:hAnsi="Times New Roman" w:cs="Times New Roman"/>
                <w:b/>
                <w:bCs/>
                <w:iCs/>
                <w:color w:val="auto"/>
                <w:sz w:val="24"/>
                <w:szCs w:val="24"/>
                <w:lang w:eastAsia="lv-LV"/>
              </w:rPr>
            </w:pPr>
            <w:r>
              <w:rPr>
                <w:rFonts w:ascii="Times New Roman" w:eastAsia="Times New Roman" w:hAnsi="Times New Roman" w:cs="Times New Roman"/>
                <w:b/>
                <w:bCs/>
                <w:iCs/>
                <w:color w:val="auto"/>
                <w:sz w:val="24"/>
                <w:szCs w:val="24"/>
                <w:lang w:eastAsia="lv-LV"/>
              </w:rPr>
              <w:t>IV</w:t>
            </w:r>
            <w:r w:rsidRPr="0064585B">
              <w:rPr>
                <w:rFonts w:ascii="Times New Roman" w:eastAsia="Times New Roman" w:hAnsi="Times New Roman" w:cs="Times New Roman"/>
                <w:b/>
                <w:bCs/>
                <w:iCs/>
                <w:color w:val="auto"/>
                <w:sz w:val="24"/>
                <w:szCs w:val="24"/>
                <w:lang w:eastAsia="lv-LV"/>
              </w:rPr>
              <w:t xml:space="preserve">. </w:t>
            </w:r>
            <w:r w:rsidRPr="00D5483C">
              <w:rPr>
                <w:rFonts w:ascii="Times New Roman" w:eastAsia="Times New Roman" w:hAnsi="Times New Roman" w:cs="Times New Roman"/>
                <w:b/>
                <w:bCs/>
                <w:iCs/>
                <w:color w:val="auto"/>
                <w:sz w:val="24"/>
                <w:szCs w:val="24"/>
                <w:lang w:eastAsia="lv-LV"/>
              </w:rPr>
              <w:t xml:space="preserve">Tiesību akta projekta ietekme uz </w:t>
            </w:r>
            <w:r>
              <w:rPr>
                <w:rFonts w:ascii="Times New Roman" w:eastAsia="Times New Roman" w:hAnsi="Times New Roman" w:cs="Times New Roman"/>
                <w:b/>
                <w:bCs/>
                <w:iCs/>
                <w:color w:val="auto"/>
                <w:sz w:val="24"/>
                <w:szCs w:val="24"/>
                <w:lang w:eastAsia="lv-LV"/>
              </w:rPr>
              <w:t>spēkā esošo tiesību normu sistēmu</w:t>
            </w:r>
          </w:p>
        </w:tc>
      </w:tr>
      <w:tr w:rsidR="009C0B30" w:rsidRPr="0064585B" w14:paraId="604E791C" w14:textId="77777777" w:rsidTr="00235E8B">
        <w:tc>
          <w:tcPr>
            <w:tcW w:w="90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18682A3" w14:textId="26E0D508" w:rsidR="009C0B30" w:rsidRPr="0064585B" w:rsidRDefault="009C0B30" w:rsidP="00DF27ED">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r w:rsidR="00F839DC">
              <w:rPr>
                <w:rFonts w:ascii="Times New Roman" w:hAnsi="Times New Roman"/>
                <w:color w:val="auto"/>
                <w:sz w:val="24"/>
                <w:szCs w:val="24"/>
              </w:rPr>
              <w:t>.</w:t>
            </w:r>
          </w:p>
        </w:tc>
      </w:tr>
    </w:tbl>
    <w:p w14:paraId="29B6552C" w14:textId="77777777" w:rsidR="006122EF" w:rsidRPr="00111DD1" w:rsidRDefault="006122EF">
      <w:pPr>
        <w:spacing w:after="0" w:line="240" w:lineRule="auto"/>
        <w:rPr>
          <w:rFonts w:ascii="Times New Roman" w:eastAsia="Times New Roman" w:hAnsi="Times New Roman" w:cs="Times New Roman"/>
          <w:iCs/>
          <w:color w:val="auto"/>
          <w:sz w:val="24"/>
          <w:szCs w:val="24"/>
          <w:lang w:eastAsia="lv-LV"/>
        </w:rPr>
      </w:pPr>
    </w:p>
    <w:tbl>
      <w:tblPr>
        <w:tblW w:w="5009" w:type="pct"/>
        <w:tblInd w:w="-8"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71"/>
      </w:tblGrid>
      <w:tr w:rsidR="0064585B" w:rsidRPr="0064585B" w14:paraId="72669EA9" w14:textId="77777777" w:rsidTr="00235E8B">
        <w:tc>
          <w:tcPr>
            <w:tcW w:w="9072" w:type="dxa"/>
            <w:tcBorders>
              <w:top w:val="outset" w:sz="6" w:space="0" w:color="00000A"/>
              <w:left w:val="outset" w:sz="6" w:space="0" w:color="00000A"/>
              <w:right w:val="outset" w:sz="6" w:space="0" w:color="00000A"/>
            </w:tcBorders>
            <w:shd w:val="clear" w:color="auto" w:fill="auto"/>
            <w:tcMar>
              <w:left w:w="-22" w:type="dxa"/>
            </w:tcMar>
            <w:vAlign w:val="center"/>
          </w:tcPr>
          <w:p w14:paraId="694E0D71" w14:textId="77777777" w:rsidR="00D93A15" w:rsidRPr="0064585B" w:rsidRDefault="00CD56A5" w:rsidP="00235E8B">
            <w:pPr>
              <w:spacing w:after="0" w:line="240" w:lineRule="auto"/>
              <w:jc w:val="center"/>
              <w:rPr>
                <w:rFonts w:ascii="Times New Roman" w:eastAsia="Times New Roman" w:hAnsi="Times New Roman" w:cs="Times New Roman"/>
                <w:b/>
                <w:bCs/>
                <w:iCs/>
                <w:color w:val="auto"/>
                <w:sz w:val="24"/>
                <w:szCs w:val="24"/>
                <w:lang w:val="en-US" w:eastAsia="lv-LV"/>
              </w:rPr>
            </w:pPr>
            <w:r w:rsidRPr="0064585B">
              <w:rPr>
                <w:rFonts w:ascii="Times New Roman" w:eastAsia="Times New Roman" w:hAnsi="Times New Roman" w:cs="Times New Roman"/>
                <w:b/>
                <w:bCs/>
                <w:iCs/>
                <w:color w:val="auto"/>
                <w:sz w:val="24"/>
                <w:szCs w:val="24"/>
                <w:lang w:eastAsia="lv-LV"/>
              </w:rPr>
              <w:t>V. Tiesību akta projekta atbilstība Latvijas Republikas starptautiskajām saistībām</w:t>
            </w:r>
          </w:p>
        </w:tc>
      </w:tr>
      <w:tr w:rsidR="0064585B" w:rsidRPr="0064585B" w14:paraId="1CF0B30E" w14:textId="77777777" w:rsidTr="00235E8B">
        <w:tc>
          <w:tcPr>
            <w:tcW w:w="90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5E1A7D6" w14:textId="1A595A31" w:rsidR="00D93A15" w:rsidRPr="0064585B" w:rsidRDefault="00CD56A5">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r w:rsidR="00F839DC">
              <w:rPr>
                <w:rFonts w:ascii="Times New Roman" w:hAnsi="Times New Roman"/>
                <w:color w:val="auto"/>
                <w:sz w:val="24"/>
                <w:szCs w:val="24"/>
              </w:rPr>
              <w:t>.</w:t>
            </w:r>
          </w:p>
        </w:tc>
      </w:tr>
    </w:tbl>
    <w:p w14:paraId="1B4E2171" w14:textId="77777777" w:rsidR="006122EF" w:rsidRPr="0064585B" w:rsidRDefault="006122EF">
      <w:pPr>
        <w:spacing w:after="0" w:line="240" w:lineRule="auto"/>
        <w:rPr>
          <w:rFonts w:ascii="Times New Roman" w:eastAsia="Times New Roman" w:hAnsi="Times New Roman" w:cs="Times New Roman"/>
          <w:iCs/>
          <w:color w:val="auto"/>
          <w:sz w:val="24"/>
          <w:szCs w:val="24"/>
          <w:lang w:eastAsia="lv-LV"/>
        </w:rPr>
      </w:pP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65"/>
        <w:gridCol w:w="2554"/>
        <w:gridCol w:w="5936"/>
      </w:tblGrid>
      <w:tr w:rsidR="00C15BB0" w:rsidRPr="00C15BB0" w14:paraId="5A9AA18F" w14:textId="77777777" w:rsidTr="002E5472">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096F751" w14:textId="77777777" w:rsidR="00D93A15" w:rsidRPr="00C15BB0" w:rsidRDefault="00CD56A5" w:rsidP="00235E8B">
            <w:pPr>
              <w:spacing w:after="0" w:line="240" w:lineRule="auto"/>
              <w:jc w:val="center"/>
              <w:rPr>
                <w:rFonts w:ascii="Times New Roman" w:eastAsia="Times New Roman" w:hAnsi="Times New Roman" w:cs="Times New Roman"/>
                <w:b/>
                <w:bCs/>
                <w:iCs/>
                <w:color w:val="auto"/>
                <w:sz w:val="24"/>
                <w:szCs w:val="24"/>
                <w:lang w:eastAsia="lv-LV"/>
              </w:rPr>
            </w:pPr>
            <w:r w:rsidRPr="00C15BB0">
              <w:rPr>
                <w:rFonts w:ascii="Times New Roman" w:eastAsia="Times New Roman" w:hAnsi="Times New Roman" w:cs="Times New Roman"/>
                <w:b/>
                <w:bCs/>
                <w:iCs/>
                <w:color w:val="auto"/>
                <w:sz w:val="24"/>
                <w:szCs w:val="24"/>
                <w:lang w:eastAsia="lv-LV"/>
              </w:rPr>
              <w:t>VI. Sabiedrības līdzdalība un komunikācijas aktivitātes</w:t>
            </w:r>
          </w:p>
        </w:tc>
      </w:tr>
      <w:tr w:rsidR="00C15BB0" w:rsidRPr="00C15BB0" w14:paraId="0AEEF13A" w14:textId="77777777" w:rsidTr="001847A7">
        <w:tc>
          <w:tcPr>
            <w:tcW w:w="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34E18F"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1.</w:t>
            </w:r>
          </w:p>
        </w:tc>
        <w:tc>
          <w:tcPr>
            <w:tcW w:w="25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CBE1964"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 xml:space="preserve">Plānotās sabiedrības līdzdalības un </w:t>
            </w:r>
            <w:r w:rsidRPr="00C15BB0">
              <w:rPr>
                <w:rFonts w:ascii="Times New Roman" w:eastAsia="Times New Roman" w:hAnsi="Times New Roman" w:cs="Times New Roman"/>
                <w:iCs/>
                <w:color w:val="auto"/>
                <w:sz w:val="24"/>
                <w:szCs w:val="24"/>
                <w:lang w:eastAsia="lv-LV"/>
              </w:rPr>
              <w:lastRenderedPageBreak/>
              <w:t>komunikācijas aktivitātes saistībā ar projektu</w:t>
            </w:r>
          </w:p>
        </w:tc>
        <w:tc>
          <w:tcPr>
            <w:tcW w:w="59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3E107A4" w14:textId="2F9DCF7B" w:rsidR="004D6BAA" w:rsidRPr="00C15BB0" w:rsidRDefault="00C15BB0" w:rsidP="00EA793B">
            <w:pPr>
              <w:spacing w:after="0" w:line="240" w:lineRule="auto"/>
              <w:jc w:val="both"/>
              <w:rPr>
                <w:rFonts w:ascii="Times New Roman" w:hAnsi="Times New Roman" w:cs="Times New Roman"/>
                <w:color w:val="auto"/>
                <w:sz w:val="24"/>
                <w:szCs w:val="24"/>
              </w:rPr>
            </w:pPr>
            <w:r w:rsidRPr="00C15BB0">
              <w:rPr>
                <w:rFonts w:ascii="Times New Roman" w:hAnsi="Times New Roman" w:cs="Times New Roman"/>
                <w:color w:val="auto"/>
                <w:sz w:val="24"/>
                <w:szCs w:val="24"/>
              </w:rPr>
              <w:lastRenderedPageBreak/>
              <w:t>Atbilstoši Ministru kabineta 2009.</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gada 25.</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augusta noteikumiem Nr.</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 xml:space="preserve">970 "Sabiedrības līdzdalības kārtība attīstības plānošanas procesā", lai informētu sabiedrību </w:t>
            </w:r>
            <w:r w:rsidRPr="001E0698">
              <w:rPr>
                <w:rFonts w:ascii="Times New Roman" w:hAnsi="Times New Roman" w:cs="Times New Roman"/>
                <w:color w:val="auto"/>
                <w:sz w:val="24"/>
                <w:szCs w:val="24"/>
              </w:rPr>
              <w:t xml:space="preserve">par </w:t>
            </w:r>
            <w:r w:rsidR="00F839DC">
              <w:rPr>
                <w:rFonts w:ascii="Times New Roman" w:hAnsi="Times New Roman" w:cs="Times New Roman"/>
                <w:color w:val="auto"/>
                <w:sz w:val="24"/>
                <w:szCs w:val="24"/>
              </w:rPr>
              <w:lastRenderedPageBreak/>
              <w:t>P</w:t>
            </w:r>
            <w:r w:rsidRPr="001E0698">
              <w:rPr>
                <w:rFonts w:ascii="Times New Roman" w:hAnsi="Times New Roman" w:cs="Times New Roman"/>
                <w:color w:val="auto"/>
                <w:sz w:val="24"/>
                <w:szCs w:val="24"/>
              </w:rPr>
              <w:t xml:space="preserve">rojektu un dotu iespēju izteikt viedokli, </w:t>
            </w:r>
            <w:r w:rsidR="00F839DC">
              <w:rPr>
                <w:rFonts w:ascii="Times New Roman" w:hAnsi="Times New Roman" w:cs="Times New Roman"/>
                <w:color w:val="auto"/>
                <w:sz w:val="24"/>
                <w:szCs w:val="24"/>
              </w:rPr>
              <w:t>P</w:t>
            </w:r>
            <w:r w:rsidRPr="001E0698">
              <w:rPr>
                <w:rFonts w:ascii="Times New Roman" w:hAnsi="Times New Roman" w:cs="Times New Roman"/>
                <w:color w:val="auto"/>
                <w:sz w:val="24"/>
                <w:szCs w:val="24"/>
              </w:rPr>
              <w:t xml:space="preserve">rojekts </w:t>
            </w:r>
            <w:r w:rsidR="001C7341" w:rsidRPr="001E0698">
              <w:rPr>
                <w:rFonts w:ascii="Times New Roman" w:hAnsi="Times New Roman" w:cs="Times New Roman"/>
                <w:color w:val="auto"/>
                <w:sz w:val="24"/>
                <w:szCs w:val="24"/>
              </w:rPr>
              <w:t>2019. gada 6. decembrī</w:t>
            </w:r>
            <w:r w:rsidRPr="001E0698">
              <w:rPr>
                <w:rFonts w:ascii="Times New Roman" w:hAnsi="Times New Roman" w:cs="Times New Roman"/>
                <w:color w:val="auto"/>
                <w:sz w:val="24"/>
                <w:szCs w:val="24"/>
              </w:rPr>
              <w:t xml:space="preserve"> ievietots Tieslietu ministrijas mājaslapā</w:t>
            </w:r>
            <w:r w:rsidR="000360A2" w:rsidRPr="00E0068F">
              <w:rPr>
                <w:rFonts w:ascii="Times New Roman" w:hAnsi="Times New Roman" w:cs="Times New Roman"/>
                <w:color w:val="auto"/>
                <w:sz w:val="24"/>
                <w:szCs w:val="24"/>
              </w:rPr>
              <w:t xml:space="preserve">, kā arī </w:t>
            </w:r>
            <w:r w:rsidR="000360A2" w:rsidRPr="000360A2">
              <w:rPr>
                <w:rFonts w:ascii="Times New Roman" w:hAnsi="Times New Roman" w:cs="Times New Roman"/>
                <w:color w:val="auto"/>
                <w:sz w:val="24"/>
                <w:szCs w:val="24"/>
              </w:rPr>
              <w:t xml:space="preserve">paziņojums par </w:t>
            </w:r>
            <w:r w:rsidR="000360A2">
              <w:rPr>
                <w:rFonts w:ascii="Times New Roman" w:hAnsi="Times New Roman" w:cs="Times New Roman"/>
                <w:color w:val="auto"/>
                <w:sz w:val="24"/>
                <w:szCs w:val="24"/>
              </w:rPr>
              <w:t xml:space="preserve">sabiedrības </w:t>
            </w:r>
            <w:r w:rsidR="000360A2" w:rsidRPr="000360A2">
              <w:rPr>
                <w:rFonts w:ascii="Times New Roman" w:hAnsi="Times New Roman" w:cs="Times New Roman"/>
                <w:color w:val="auto"/>
                <w:sz w:val="24"/>
                <w:szCs w:val="24"/>
              </w:rPr>
              <w:t xml:space="preserve">līdzdalības procesu </w:t>
            </w:r>
            <w:r w:rsidR="000360A2">
              <w:rPr>
                <w:rFonts w:ascii="Times New Roman" w:hAnsi="Times New Roman" w:cs="Times New Roman"/>
                <w:color w:val="auto"/>
                <w:sz w:val="24"/>
                <w:szCs w:val="24"/>
              </w:rPr>
              <w:t>iesniegts</w:t>
            </w:r>
            <w:r w:rsidR="000360A2" w:rsidRPr="000360A2">
              <w:rPr>
                <w:rFonts w:ascii="Times New Roman" w:hAnsi="Times New Roman" w:cs="Times New Roman"/>
                <w:color w:val="auto"/>
                <w:sz w:val="24"/>
                <w:szCs w:val="24"/>
              </w:rPr>
              <w:t xml:space="preserve"> Valsts kancelejā publicēšanai tās mājaslapā</w:t>
            </w:r>
            <w:r w:rsidRPr="001E0698">
              <w:rPr>
                <w:rFonts w:ascii="Times New Roman" w:hAnsi="Times New Roman" w:cs="Times New Roman"/>
                <w:color w:val="auto"/>
                <w:sz w:val="24"/>
                <w:szCs w:val="24"/>
              </w:rPr>
              <w:t xml:space="preserve">. </w:t>
            </w:r>
          </w:p>
        </w:tc>
      </w:tr>
      <w:tr w:rsidR="00C15BB0" w:rsidRPr="00C15BB0" w14:paraId="58676D0B" w14:textId="77777777" w:rsidTr="001847A7">
        <w:tc>
          <w:tcPr>
            <w:tcW w:w="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A8FEF6" w14:textId="77777777" w:rsidR="00D93A15" w:rsidRPr="00C15BB0" w:rsidRDefault="00CD56A5">
            <w:pPr>
              <w:spacing w:after="0" w:line="240" w:lineRule="auto"/>
              <w:rPr>
                <w:color w:val="auto"/>
              </w:rPr>
            </w:pPr>
            <w:r w:rsidRPr="00C15BB0">
              <w:rPr>
                <w:rFonts w:ascii="Times New Roman" w:eastAsia="Times New Roman" w:hAnsi="Times New Roman" w:cs="Times New Roman"/>
                <w:iCs/>
                <w:color w:val="auto"/>
                <w:sz w:val="24"/>
                <w:szCs w:val="24"/>
                <w:lang w:eastAsia="lv-LV"/>
              </w:rPr>
              <w:lastRenderedPageBreak/>
              <w:t>2.</w:t>
            </w:r>
          </w:p>
        </w:tc>
        <w:tc>
          <w:tcPr>
            <w:tcW w:w="25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D49E261"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Sabiedrības līdzdalība projekta izstrādē</w:t>
            </w:r>
          </w:p>
        </w:tc>
        <w:tc>
          <w:tcPr>
            <w:tcW w:w="59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0C1BEEC" w14:textId="77777777" w:rsidR="00BD7C30" w:rsidRDefault="004543E4" w:rsidP="00BD7C30">
            <w:pPr>
              <w:spacing w:after="0" w:line="240" w:lineRule="auto"/>
              <w:jc w:val="both"/>
              <w:rPr>
                <w:rFonts w:ascii="Times New Roman" w:hAnsi="Times New Roman" w:cs="Times New Roman"/>
                <w:color w:val="auto"/>
                <w:sz w:val="24"/>
                <w:szCs w:val="24"/>
              </w:rPr>
            </w:pPr>
            <w:r w:rsidRPr="00C15BB0">
              <w:rPr>
                <w:rFonts w:ascii="Times New Roman" w:hAnsi="Times New Roman" w:cs="Times New Roman"/>
                <w:color w:val="auto"/>
                <w:sz w:val="24"/>
                <w:szCs w:val="24"/>
              </w:rPr>
              <w:t>Saskaņā ar Ministru prezidenta 2019.</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gada 16.</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oktobra rezolūciju Nr.</w:t>
            </w:r>
            <w:r w:rsidR="00283E48">
              <w:rPr>
                <w:rFonts w:ascii="Times New Roman" w:hAnsi="Times New Roman" w:cs="Times New Roman"/>
                <w:color w:val="auto"/>
                <w:sz w:val="24"/>
                <w:szCs w:val="24"/>
              </w:rPr>
              <w:t> </w:t>
            </w:r>
            <w:r w:rsidRPr="00C15BB0">
              <w:rPr>
                <w:rFonts w:ascii="Times New Roman" w:hAnsi="Times New Roman" w:cs="Times New Roman"/>
                <w:color w:val="auto"/>
                <w:sz w:val="24"/>
                <w:szCs w:val="24"/>
              </w:rPr>
              <w:t xml:space="preserve">2019-1.1.1./40-40 izveidotās darba grupas Projekta izstrādei sastāvā bija iekļauti biedrības </w:t>
            </w:r>
            <w:r w:rsidR="00283E48">
              <w:rPr>
                <w:rFonts w:ascii="Times New Roman" w:hAnsi="Times New Roman" w:cs="Times New Roman"/>
                <w:color w:val="auto"/>
                <w:sz w:val="24"/>
                <w:szCs w:val="24"/>
              </w:rPr>
              <w:t>"</w:t>
            </w:r>
            <w:r w:rsidRPr="00C15BB0">
              <w:rPr>
                <w:rFonts w:ascii="Times New Roman" w:hAnsi="Times New Roman" w:cs="Times New Roman"/>
                <w:color w:val="auto"/>
                <w:sz w:val="24"/>
                <w:szCs w:val="24"/>
              </w:rPr>
              <w:t>Sabiedriskās politikas centrs PROVIDUS</w:t>
            </w:r>
            <w:r w:rsidR="00283E48">
              <w:rPr>
                <w:rFonts w:ascii="Times New Roman" w:hAnsi="Times New Roman" w:cs="Times New Roman"/>
                <w:color w:val="auto"/>
                <w:sz w:val="24"/>
                <w:szCs w:val="24"/>
              </w:rPr>
              <w:t>"</w:t>
            </w:r>
            <w:r w:rsidRPr="00C15BB0">
              <w:rPr>
                <w:rFonts w:ascii="Times New Roman" w:hAnsi="Times New Roman" w:cs="Times New Roman"/>
                <w:color w:val="auto"/>
                <w:sz w:val="24"/>
                <w:szCs w:val="24"/>
              </w:rPr>
              <w:t xml:space="preserve"> un biedrības </w:t>
            </w:r>
            <w:r w:rsidR="00283E48">
              <w:rPr>
                <w:rFonts w:ascii="Times New Roman" w:hAnsi="Times New Roman" w:cs="Times New Roman"/>
                <w:color w:val="auto"/>
                <w:sz w:val="24"/>
                <w:szCs w:val="24"/>
              </w:rPr>
              <w:t>"</w:t>
            </w:r>
            <w:r w:rsidRPr="00C15BB0">
              <w:rPr>
                <w:rFonts w:ascii="Times New Roman" w:hAnsi="Times New Roman" w:cs="Times New Roman"/>
                <w:color w:val="auto"/>
                <w:sz w:val="24"/>
                <w:szCs w:val="24"/>
              </w:rPr>
              <w:t>Sabiedrība par atklātību – Delna</w:t>
            </w:r>
            <w:r w:rsidR="00283E48">
              <w:rPr>
                <w:rFonts w:ascii="Times New Roman" w:hAnsi="Times New Roman" w:cs="Times New Roman"/>
                <w:color w:val="auto"/>
                <w:sz w:val="24"/>
                <w:szCs w:val="24"/>
              </w:rPr>
              <w:t>"</w:t>
            </w:r>
            <w:r w:rsidRPr="00C15BB0">
              <w:rPr>
                <w:rFonts w:ascii="Times New Roman" w:hAnsi="Times New Roman" w:cs="Times New Roman"/>
                <w:color w:val="auto"/>
                <w:sz w:val="24"/>
                <w:szCs w:val="24"/>
              </w:rPr>
              <w:t xml:space="preserve"> pārstāvji.</w:t>
            </w:r>
          </w:p>
          <w:p w14:paraId="01EF67A2" w14:textId="37B8BB76" w:rsidR="008C6777" w:rsidRPr="00C15BB0" w:rsidRDefault="008C6777" w:rsidP="00BD7C30">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w:t>
            </w:r>
            <w:r w:rsidRPr="008C6777">
              <w:rPr>
                <w:rFonts w:ascii="Times New Roman" w:hAnsi="Times New Roman" w:cs="Times New Roman"/>
                <w:color w:val="auto"/>
                <w:sz w:val="24"/>
                <w:szCs w:val="24"/>
              </w:rPr>
              <w:t>abiedrības pārstāvji atbilstoši Ministru kabineta 2009.</w:t>
            </w:r>
            <w:r w:rsidR="002E5472">
              <w:rPr>
                <w:rFonts w:ascii="Times New Roman" w:hAnsi="Times New Roman" w:cs="Times New Roman"/>
                <w:color w:val="auto"/>
                <w:sz w:val="24"/>
                <w:szCs w:val="24"/>
              </w:rPr>
              <w:t> </w:t>
            </w:r>
            <w:r w:rsidRPr="008C6777">
              <w:rPr>
                <w:rFonts w:ascii="Times New Roman" w:hAnsi="Times New Roman" w:cs="Times New Roman"/>
                <w:color w:val="auto"/>
                <w:sz w:val="24"/>
                <w:szCs w:val="24"/>
              </w:rPr>
              <w:t>gada 25.</w:t>
            </w:r>
            <w:r w:rsidR="002E5472">
              <w:rPr>
                <w:rFonts w:ascii="Times New Roman" w:hAnsi="Times New Roman" w:cs="Times New Roman"/>
                <w:color w:val="auto"/>
                <w:sz w:val="24"/>
                <w:szCs w:val="24"/>
              </w:rPr>
              <w:t> </w:t>
            </w:r>
            <w:r w:rsidRPr="008C6777">
              <w:rPr>
                <w:rFonts w:ascii="Times New Roman" w:hAnsi="Times New Roman" w:cs="Times New Roman"/>
                <w:color w:val="auto"/>
                <w:sz w:val="24"/>
                <w:szCs w:val="24"/>
              </w:rPr>
              <w:t>augusta noteikumu Nr.</w:t>
            </w:r>
            <w:r w:rsidR="002E5472">
              <w:rPr>
                <w:rFonts w:ascii="Times New Roman" w:hAnsi="Times New Roman" w:cs="Times New Roman"/>
                <w:color w:val="auto"/>
                <w:sz w:val="24"/>
                <w:szCs w:val="24"/>
              </w:rPr>
              <w:t> </w:t>
            </w:r>
            <w:r w:rsidRPr="008C6777">
              <w:rPr>
                <w:rFonts w:ascii="Times New Roman" w:hAnsi="Times New Roman" w:cs="Times New Roman"/>
                <w:color w:val="auto"/>
                <w:sz w:val="24"/>
                <w:szCs w:val="24"/>
              </w:rPr>
              <w:t>970 "Sabiedrības līdzdalības kārtība attīstības plānošanas procesā" 7.4</w:t>
            </w:r>
            <w:r w:rsidRPr="008C6777">
              <w:rPr>
                <w:rFonts w:ascii="Times New Roman" w:hAnsi="Times New Roman" w:cs="Times New Roman"/>
                <w:color w:val="auto"/>
                <w:sz w:val="24"/>
                <w:szCs w:val="24"/>
                <w:vertAlign w:val="superscript"/>
              </w:rPr>
              <w:t>1</w:t>
            </w:r>
            <w:r w:rsidR="002E5472">
              <w:rPr>
                <w:rFonts w:ascii="Times New Roman" w:hAnsi="Times New Roman" w:cs="Times New Roman"/>
                <w:color w:val="auto"/>
                <w:sz w:val="24"/>
                <w:szCs w:val="24"/>
                <w:vertAlign w:val="superscript"/>
              </w:rPr>
              <w:t> </w:t>
            </w:r>
            <w:r w:rsidRPr="008C6777">
              <w:rPr>
                <w:rFonts w:ascii="Times New Roman" w:hAnsi="Times New Roman" w:cs="Times New Roman"/>
                <w:color w:val="auto"/>
                <w:sz w:val="24"/>
                <w:szCs w:val="24"/>
              </w:rPr>
              <w:t>apakšpunktam līdz 2019.</w:t>
            </w:r>
            <w:r w:rsidR="00C717EC">
              <w:rPr>
                <w:rFonts w:ascii="Times New Roman" w:hAnsi="Times New Roman" w:cs="Times New Roman"/>
                <w:color w:val="auto"/>
                <w:sz w:val="24"/>
                <w:szCs w:val="24"/>
              </w:rPr>
              <w:t> </w:t>
            </w:r>
            <w:r w:rsidRPr="008C6777">
              <w:rPr>
                <w:rFonts w:ascii="Times New Roman" w:hAnsi="Times New Roman" w:cs="Times New Roman"/>
                <w:color w:val="auto"/>
                <w:sz w:val="24"/>
                <w:szCs w:val="24"/>
              </w:rPr>
              <w:t xml:space="preserve">gada </w:t>
            </w:r>
            <w:r>
              <w:rPr>
                <w:rFonts w:ascii="Times New Roman" w:hAnsi="Times New Roman" w:cs="Times New Roman"/>
                <w:color w:val="auto"/>
                <w:sz w:val="24"/>
                <w:szCs w:val="24"/>
              </w:rPr>
              <w:t>20. decembrim</w:t>
            </w:r>
            <w:r w:rsidRPr="008C6777">
              <w:rPr>
                <w:rFonts w:ascii="Times New Roman" w:hAnsi="Times New Roman" w:cs="Times New Roman"/>
                <w:color w:val="auto"/>
                <w:sz w:val="24"/>
                <w:szCs w:val="24"/>
              </w:rPr>
              <w:t xml:space="preserve"> </w:t>
            </w:r>
            <w:r>
              <w:rPr>
                <w:rFonts w:ascii="Times New Roman" w:hAnsi="Times New Roman" w:cs="Times New Roman"/>
                <w:color w:val="auto"/>
                <w:sz w:val="24"/>
                <w:szCs w:val="24"/>
              </w:rPr>
              <w:t>v</w:t>
            </w:r>
            <w:r w:rsidRPr="008C6777">
              <w:rPr>
                <w:rFonts w:ascii="Times New Roman" w:hAnsi="Times New Roman" w:cs="Times New Roman"/>
                <w:color w:val="auto"/>
                <w:sz w:val="24"/>
                <w:szCs w:val="24"/>
              </w:rPr>
              <w:t>ar</w:t>
            </w:r>
            <w:r w:rsidR="009B4511">
              <w:rPr>
                <w:rFonts w:ascii="Times New Roman" w:hAnsi="Times New Roman" w:cs="Times New Roman"/>
                <w:color w:val="auto"/>
                <w:sz w:val="24"/>
                <w:szCs w:val="24"/>
              </w:rPr>
              <w:t>ēja</w:t>
            </w:r>
            <w:r w:rsidRPr="008C6777">
              <w:rPr>
                <w:rFonts w:ascii="Times New Roman" w:hAnsi="Times New Roman" w:cs="Times New Roman"/>
                <w:color w:val="auto"/>
                <w:sz w:val="24"/>
                <w:szCs w:val="24"/>
              </w:rPr>
              <w:t xml:space="preserve"> sniegt viedokli par </w:t>
            </w:r>
            <w:r>
              <w:rPr>
                <w:rFonts w:ascii="Times New Roman" w:hAnsi="Times New Roman" w:cs="Times New Roman"/>
                <w:color w:val="auto"/>
                <w:sz w:val="24"/>
                <w:szCs w:val="24"/>
              </w:rPr>
              <w:t>Tieslietu ministrijas</w:t>
            </w:r>
            <w:r w:rsidRPr="008C6777">
              <w:rPr>
                <w:rFonts w:ascii="Times New Roman" w:hAnsi="Times New Roman" w:cs="Times New Roman"/>
                <w:color w:val="auto"/>
                <w:sz w:val="24"/>
                <w:szCs w:val="24"/>
              </w:rPr>
              <w:t xml:space="preserve"> mājaslapā ievietoto Projektu.</w:t>
            </w:r>
            <w:r>
              <w:rPr>
                <w:rFonts w:ascii="Times New Roman" w:hAnsi="Times New Roman" w:cs="Times New Roman"/>
                <w:color w:val="auto"/>
                <w:sz w:val="24"/>
                <w:szCs w:val="24"/>
              </w:rPr>
              <w:t xml:space="preserve"> T</w:t>
            </w:r>
            <w:r w:rsidRPr="008C6777">
              <w:rPr>
                <w:rFonts w:ascii="Times New Roman" w:hAnsi="Times New Roman" w:cs="Times New Roman"/>
                <w:color w:val="auto"/>
                <w:sz w:val="24"/>
                <w:szCs w:val="24"/>
              </w:rPr>
              <w:t>īmekļvietnes adres</w:t>
            </w:r>
            <w:r>
              <w:rPr>
                <w:rFonts w:ascii="Times New Roman" w:hAnsi="Times New Roman" w:cs="Times New Roman"/>
                <w:color w:val="auto"/>
                <w:sz w:val="24"/>
                <w:szCs w:val="24"/>
              </w:rPr>
              <w:t xml:space="preserve">e: </w:t>
            </w:r>
            <w:r w:rsidR="00C717EC" w:rsidRPr="00C717EC">
              <w:rPr>
                <w:rFonts w:ascii="Times New Roman" w:hAnsi="Times New Roman" w:cs="Times New Roman"/>
                <w:color w:val="auto"/>
                <w:sz w:val="24"/>
                <w:szCs w:val="24"/>
              </w:rPr>
              <w:t>https://tm.gov.lv/lv/cits/pazinojums-par-lidzdalibas-iespejam-ministru-kabineta-noteikumu-projekta-politiskajam-organizacijam</w:t>
            </w:r>
            <w:r w:rsidR="009B4511">
              <w:rPr>
                <w:rFonts w:ascii="Times New Roman" w:hAnsi="Times New Roman" w:cs="Times New Roman"/>
                <w:color w:val="auto"/>
                <w:sz w:val="24"/>
                <w:szCs w:val="24"/>
              </w:rPr>
              <w:t>.</w:t>
            </w:r>
          </w:p>
        </w:tc>
      </w:tr>
      <w:tr w:rsidR="00C15BB0" w:rsidRPr="00C15BB0" w14:paraId="042A77B8" w14:textId="77777777" w:rsidTr="006653E5">
        <w:tc>
          <w:tcPr>
            <w:tcW w:w="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2CF2BDF"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3.</w:t>
            </w:r>
          </w:p>
        </w:tc>
        <w:tc>
          <w:tcPr>
            <w:tcW w:w="25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0D2D192"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Sabiedrības līdzdalības rezultāti</w:t>
            </w:r>
          </w:p>
        </w:tc>
        <w:tc>
          <w:tcPr>
            <w:tcW w:w="59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BE3C03F" w14:textId="6F365D5E" w:rsidR="00272B3F" w:rsidRDefault="00C717EC" w:rsidP="00973EE5">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Projekta izstrādē ņemti vērā </w:t>
            </w:r>
            <w:r w:rsidRPr="00C15BB0">
              <w:rPr>
                <w:rFonts w:ascii="Times New Roman" w:hAnsi="Times New Roman" w:cs="Times New Roman"/>
                <w:color w:val="auto"/>
                <w:sz w:val="24"/>
                <w:szCs w:val="24"/>
              </w:rPr>
              <w:t>biedrīb</w:t>
            </w:r>
            <w:r>
              <w:rPr>
                <w:rFonts w:ascii="Times New Roman" w:hAnsi="Times New Roman" w:cs="Times New Roman"/>
                <w:color w:val="auto"/>
                <w:sz w:val="24"/>
                <w:szCs w:val="24"/>
              </w:rPr>
              <w:t>u</w:t>
            </w:r>
            <w:r w:rsidRPr="00C15BB0">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C15BB0">
              <w:rPr>
                <w:rFonts w:ascii="Times New Roman" w:hAnsi="Times New Roman" w:cs="Times New Roman"/>
                <w:color w:val="auto"/>
                <w:sz w:val="24"/>
                <w:szCs w:val="24"/>
              </w:rPr>
              <w:t>Sabiedriskās politikas centrs PROVIDUS</w:t>
            </w:r>
            <w:r>
              <w:rPr>
                <w:rFonts w:ascii="Times New Roman" w:hAnsi="Times New Roman" w:cs="Times New Roman"/>
                <w:color w:val="auto"/>
                <w:sz w:val="24"/>
                <w:szCs w:val="24"/>
              </w:rPr>
              <w:t>"</w:t>
            </w:r>
            <w:r w:rsidRPr="00C15BB0">
              <w:rPr>
                <w:rFonts w:ascii="Times New Roman" w:hAnsi="Times New Roman" w:cs="Times New Roman"/>
                <w:color w:val="auto"/>
                <w:sz w:val="24"/>
                <w:szCs w:val="24"/>
              </w:rPr>
              <w:t xml:space="preserve"> un </w:t>
            </w:r>
            <w:r>
              <w:rPr>
                <w:rFonts w:ascii="Times New Roman" w:hAnsi="Times New Roman" w:cs="Times New Roman"/>
                <w:color w:val="auto"/>
                <w:sz w:val="24"/>
                <w:szCs w:val="24"/>
              </w:rPr>
              <w:t>"</w:t>
            </w:r>
            <w:r w:rsidRPr="00C15BB0">
              <w:rPr>
                <w:rFonts w:ascii="Times New Roman" w:hAnsi="Times New Roman" w:cs="Times New Roman"/>
                <w:color w:val="auto"/>
                <w:sz w:val="24"/>
                <w:szCs w:val="24"/>
              </w:rPr>
              <w:t>Sabiedrība par atklātību – Delna</w:t>
            </w:r>
            <w:r>
              <w:rPr>
                <w:rFonts w:ascii="Times New Roman" w:hAnsi="Times New Roman" w:cs="Times New Roman"/>
                <w:color w:val="auto"/>
                <w:sz w:val="24"/>
                <w:szCs w:val="24"/>
              </w:rPr>
              <w:t>" ierosinājumi.</w:t>
            </w:r>
          </w:p>
          <w:p w14:paraId="22BE936D" w14:textId="5D073E04" w:rsidR="00D93A15" w:rsidRPr="00C15BB0" w:rsidRDefault="00272B3F" w:rsidP="00973EE5">
            <w:pPr>
              <w:spacing w:after="0" w:line="240" w:lineRule="auto"/>
              <w:jc w:val="both"/>
              <w:rPr>
                <w:rFonts w:ascii="Times New Roman" w:hAnsi="Times New Roman" w:cs="Times New Roman"/>
                <w:color w:val="auto"/>
                <w:sz w:val="24"/>
                <w:szCs w:val="24"/>
              </w:rPr>
            </w:pPr>
            <w:r w:rsidRPr="00272B3F">
              <w:rPr>
                <w:rFonts w:ascii="Times New Roman" w:hAnsi="Times New Roman" w:cs="Times New Roman"/>
                <w:color w:val="auto"/>
                <w:sz w:val="24"/>
                <w:szCs w:val="24"/>
              </w:rPr>
              <w:t>Sabiedrības līdzdalības</w:t>
            </w:r>
            <w:r>
              <w:rPr>
                <w:rFonts w:ascii="Times New Roman" w:hAnsi="Times New Roman" w:cs="Times New Roman"/>
                <w:color w:val="auto"/>
                <w:sz w:val="24"/>
                <w:szCs w:val="24"/>
              </w:rPr>
              <w:t xml:space="preserve"> ietvaros pēc </w:t>
            </w:r>
            <w:r w:rsidR="009B4511">
              <w:rPr>
                <w:rFonts w:ascii="Times New Roman" w:hAnsi="Times New Roman" w:cs="Times New Roman"/>
                <w:color w:val="auto"/>
                <w:sz w:val="24"/>
                <w:szCs w:val="24"/>
              </w:rPr>
              <w:t>P</w:t>
            </w:r>
            <w:r>
              <w:rPr>
                <w:rFonts w:ascii="Times New Roman" w:hAnsi="Times New Roman" w:cs="Times New Roman"/>
                <w:color w:val="auto"/>
                <w:sz w:val="24"/>
                <w:szCs w:val="24"/>
              </w:rPr>
              <w:t xml:space="preserve">rojekta </w:t>
            </w:r>
            <w:r w:rsidRPr="00272B3F">
              <w:rPr>
                <w:rFonts w:ascii="Times New Roman" w:hAnsi="Times New Roman" w:cs="Times New Roman"/>
                <w:color w:val="auto"/>
                <w:sz w:val="24"/>
                <w:szCs w:val="24"/>
              </w:rPr>
              <w:t>ievieto</w:t>
            </w:r>
            <w:r>
              <w:rPr>
                <w:rFonts w:ascii="Times New Roman" w:hAnsi="Times New Roman" w:cs="Times New Roman"/>
                <w:color w:val="auto"/>
                <w:sz w:val="24"/>
                <w:szCs w:val="24"/>
              </w:rPr>
              <w:t>šanas</w:t>
            </w:r>
            <w:r w:rsidRPr="00272B3F">
              <w:rPr>
                <w:rFonts w:ascii="Times New Roman" w:hAnsi="Times New Roman" w:cs="Times New Roman"/>
                <w:color w:val="auto"/>
                <w:sz w:val="24"/>
                <w:szCs w:val="24"/>
              </w:rPr>
              <w:t xml:space="preserve"> Tieslietu ministrijas mājaslapā </w:t>
            </w:r>
            <w:r>
              <w:rPr>
                <w:rFonts w:ascii="Times New Roman" w:hAnsi="Times New Roman" w:cs="Times New Roman"/>
                <w:color w:val="auto"/>
                <w:sz w:val="24"/>
                <w:szCs w:val="24"/>
              </w:rPr>
              <w:t>viedokļi netika saņemti.</w:t>
            </w:r>
          </w:p>
        </w:tc>
      </w:tr>
      <w:tr w:rsidR="00C15BB0" w:rsidRPr="00C15BB0" w14:paraId="120A22B9" w14:textId="77777777" w:rsidTr="001847A7">
        <w:tc>
          <w:tcPr>
            <w:tcW w:w="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C3F8D61"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4.</w:t>
            </w:r>
          </w:p>
        </w:tc>
        <w:tc>
          <w:tcPr>
            <w:tcW w:w="25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D1FC3A3"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Cita informācija</w:t>
            </w:r>
          </w:p>
        </w:tc>
        <w:tc>
          <w:tcPr>
            <w:tcW w:w="59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6A138BB" w14:textId="77777777" w:rsidR="00D93A15" w:rsidRPr="00C15BB0" w:rsidRDefault="00CD56A5">
            <w:pPr>
              <w:spacing w:after="0" w:line="240" w:lineRule="auto"/>
              <w:rPr>
                <w:color w:val="auto"/>
              </w:rPr>
            </w:pPr>
            <w:r w:rsidRPr="00C15BB0">
              <w:rPr>
                <w:rFonts w:ascii="Times New Roman" w:eastAsia="Times New Roman" w:hAnsi="Times New Roman" w:cs="Times New Roman"/>
                <w:iCs/>
                <w:color w:val="auto"/>
                <w:sz w:val="24"/>
                <w:szCs w:val="24"/>
                <w:lang w:eastAsia="lv-LV"/>
              </w:rPr>
              <w:t>Nav</w:t>
            </w:r>
          </w:p>
        </w:tc>
      </w:tr>
    </w:tbl>
    <w:p w14:paraId="180D7692" w14:textId="77777777" w:rsidR="006122EF" w:rsidRPr="0064585B" w:rsidRDefault="006122EF">
      <w:pPr>
        <w:spacing w:after="0" w:line="240" w:lineRule="auto"/>
        <w:rPr>
          <w:rFonts w:ascii="Times New Roman" w:eastAsia="Times New Roman" w:hAnsi="Times New Roman" w:cs="Times New Roman"/>
          <w:iCs/>
          <w:color w:val="auto"/>
          <w:sz w:val="24"/>
          <w:szCs w:val="24"/>
          <w:lang w:val="en-US" w:eastAsia="lv-LV"/>
        </w:rPr>
      </w:pP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453"/>
        <w:gridCol w:w="3064"/>
        <w:gridCol w:w="5538"/>
      </w:tblGrid>
      <w:tr w:rsidR="0064585B" w:rsidRPr="0064585B" w14:paraId="4D60F97D" w14:textId="77777777" w:rsidTr="00235E8B">
        <w:tc>
          <w:tcPr>
            <w:tcW w:w="9072"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A774A0E" w14:textId="2B72C60C" w:rsidR="001E0698" w:rsidRPr="001E0698" w:rsidRDefault="00CD56A5" w:rsidP="00235E8B">
            <w:pPr>
              <w:spacing w:after="0" w:line="240" w:lineRule="auto"/>
              <w:jc w:val="center"/>
              <w:rPr>
                <w:rFonts w:ascii="Times New Roman" w:eastAsia="Times New Roman" w:hAnsi="Times New Roman" w:cs="Times New Roman"/>
                <w:sz w:val="24"/>
                <w:szCs w:val="24"/>
                <w:lang w:val="en-US" w:eastAsia="lv-LV"/>
              </w:rPr>
            </w:pPr>
            <w:r w:rsidRPr="0064585B">
              <w:rPr>
                <w:rFonts w:ascii="Times New Roman" w:eastAsia="Times New Roman" w:hAnsi="Times New Roman" w:cs="Times New Roman"/>
                <w:b/>
                <w:bCs/>
                <w:iCs/>
                <w:color w:val="auto"/>
                <w:sz w:val="24"/>
                <w:szCs w:val="24"/>
                <w:lang w:eastAsia="lv-LV"/>
              </w:rPr>
              <w:t>VII. Tiesību akta projekta izpildes nodrošināšana un tās ietekme uz institūcijām</w:t>
            </w:r>
          </w:p>
        </w:tc>
      </w:tr>
      <w:tr w:rsidR="0064585B" w:rsidRPr="0064585B" w14:paraId="34145B76"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C501ABC"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1.</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81E6E78"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Projekta izpildē iesaistītās institūcijas</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280D912" w14:textId="374D49D1" w:rsidR="00D93A15" w:rsidRPr="0064585B" w:rsidRDefault="004543E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Birojs</w:t>
            </w:r>
            <w:r w:rsidR="002E5472">
              <w:rPr>
                <w:rFonts w:ascii="Times New Roman" w:hAnsi="Times New Roman" w:cs="Times New Roman"/>
                <w:color w:val="auto"/>
                <w:sz w:val="24"/>
                <w:szCs w:val="24"/>
              </w:rPr>
              <w:t>.</w:t>
            </w:r>
          </w:p>
        </w:tc>
      </w:tr>
      <w:tr w:rsidR="0064585B" w:rsidRPr="0064585B" w14:paraId="41235FBD"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C058221"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2.</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A5DF1AC" w14:textId="77777777" w:rsidR="00D93A15"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Projekta izpildes ietekme uz pārvaldes funkcijām un institucionālo struktūru.</w:t>
            </w:r>
            <w:r w:rsidRPr="0064585B">
              <w:rPr>
                <w:rFonts w:ascii="Times New Roman" w:eastAsia="Times New Roman" w:hAnsi="Times New Roman" w:cs="Times New Roman"/>
                <w:iCs/>
                <w:color w:val="auto"/>
                <w:sz w:val="24"/>
                <w:szCs w:val="24"/>
                <w:lang w:eastAsia="lv-LV"/>
              </w:rPr>
              <w:br/>
              <w:t>Jaunu institūciju izveide, esošu institūciju likvidācija vai reorganizācija, to ietekme uz institūcijas cilvēkresursiem</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B111080" w14:textId="61C28D68" w:rsidR="00D93A15" w:rsidRPr="0064585B" w:rsidRDefault="00CD56A5" w:rsidP="00973EE5">
            <w:pPr>
              <w:spacing w:after="0" w:line="240" w:lineRule="auto"/>
              <w:jc w:val="both"/>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Projekts neietekmēs pārvaldes funkcijas, jaunas institūcijas netiks izveidotas, esošās netiks likvidētas vai reorganizētas.</w:t>
            </w:r>
            <w:r w:rsidR="00C717EC">
              <w:rPr>
                <w:rFonts w:ascii="Times New Roman" w:eastAsia="Times New Roman" w:hAnsi="Times New Roman" w:cs="Times New Roman"/>
                <w:iCs/>
                <w:color w:val="auto"/>
                <w:sz w:val="24"/>
                <w:szCs w:val="24"/>
                <w:lang w:eastAsia="lv-LV"/>
              </w:rPr>
              <w:t xml:space="preserve"> Projekts neradīs ietekmi uz institūciju cilvēkresursiem. </w:t>
            </w:r>
          </w:p>
          <w:p w14:paraId="110D2A7B" w14:textId="2A47BD63" w:rsidR="00AE4DBE" w:rsidRPr="0064585B" w:rsidRDefault="00AE4DBE" w:rsidP="00973EE5">
            <w:pPr>
              <w:spacing w:after="0" w:line="240" w:lineRule="auto"/>
              <w:jc w:val="both"/>
              <w:rPr>
                <w:rFonts w:ascii="Times New Roman" w:hAnsi="Times New Roman" w:cs="Times New Roman"/>
                <w:color w:val="auto"/>
                <w:sz w:val="24"/>
                <w:szCs w:val="24"/>
              </w:rPr>
            </w:pPr>
          </w:p>
        </w:tc>
      </w:tr>
      <w:tr w:rsidR="0064585B" w:rsidRPr="0064585B" w14:paraId="7613F066" w14:textId="77777777" w:rsidTr="00235E8B">
        <w:tc>
          <w:tcPr>
            <w:tcW w:w="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1CB233"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3.</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8ED0E84"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52BC6F" w14:textId="77777777"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p>
        </w:tc>
      </w:tr>
    </w:tbl>
    <w:p w14:paraId="481D5EFE" w14:textId="4D7F8B21" w:rsidR="00326229" w:rsidRDefault="00326229" w:rsidP="00326229">
      <w:pPr>
        <w:pStyle w:val="naisf"/>
        <w:tabs>
          <w:tab w:val="left" w:pos="6237"/>
          <w:tab w:val="right" w:pos="8820"/>
        </w:tabs>
        <w:spacing w:before="0" w:after="0"/>
        <w:ind w:firstLine="0"/>
      </w:pPr>
    </w:p>
    <w:p w14:paraId="31094BCD" w14:textId="4CADD701" w:rsidR="00322970" w:rsidRPr="00322970" w:rsidRDefault="00322970" w:rsidP="00326229">
      <w:pPr>
        <w:pStyle w:val="naisf"/>
        <w:tabs>
          <w:tab w:val="left" w:pos="6237"/>
          <w:tab w:val="right" w:pos="8820"/>
        </w:tabs>
        <w:spacing w:before="0" w:after="0"/>
        <w:ind w:firstLine="0"/>
      </w:pPr>
    </w:p>
    <w:p w14:paraId="00A13759" w14:textId="77777777" w:rsidR="00322970" w:rsidRPr="00322970" w:rsidRDefault="00322970" w:rsidP="00235E8B">
      <w:pPr>
        <w:spacing w:after="0" w:line="240" w:lineRule="auto"/>
        <w:jc w:val="both"/>
        <w:rPr>
          <w:rFonts w:ascii="Times New Roman" w:hAnsi="Times New Roman" w:cs="Times New Roman"/>
          <w:bCs/>
          <w:sz w:val="24"/>
          <w:szCs w:val="24"/>
        </w:rPr>
      </w:pPr>
      <w:r w:rsidRPr="00322970">
        <w:rPr>
          <w:rFonts w:ascii="Times New Roman" w:hAnsi="Times New Roman" w:cs="Times New Roman"/>
          <w:bCs/>
          <w:sz w:val="24"/>
          <w:szCs w:val="24"/>
        </w:rPr>
        <w:t>Iesniedzējs:</w:t>
      </w:r>
    </w:p>
    <w:p w14:paraId="37C746B4" w14:textId="6FF895AE" w:rsidR="002E5472" w:rsidRDefault="002E5472" w:rsidP="00283E4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Ministru prezidenta biedrs,</w:t>
      </w:r>
    </w:p>
    <w:p w14:paraId="3935AE77" w14:textId="2E931E89" w:rsidR="00283E48" w:rsidRDefault="002E5472" w:rsidP="00283E4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tieslietu ministrs</w:t>
      </w:r>
      <w:r w:rsidR="00322970" w:rsidRPr="00322970">
        <w:rPr>
          <w:rFonts w:ascii="Times New Roman" w:hAnsi="Times New Roman" w:cs="Times New Roman"/>
          <w:bCs/>
          <w:sz w:val="24"/>
          <w:szCs w:val="24"/>
        </w:rPr>
        <w:tab/>
      </w:r>
      <w:r w:rsidR="00322970" w:rsidRPr="00322970">
        <w:rPr>
          <w:rFonts w:ascii="Times New Roman" w:hAnsi="Times New Roman" w:cs="Times New Roman"/>
          <w:bCs/>
          <w:sz w:val="24"/>
          <w:szCs w:val="24"/>
        </w:rPr>
        <w:tab/>
      </w:r>
      <w:r w:rsidR="00322970" w:rsidRPr="00322970">
        <w:rPr>
          <w:rFonts w:ascii="Times New Roman" w:hAnsi="Times New Roman" w:cs="Times New Roman"/>
          <w:bCs/>
          <w:sz w:val="24"/>
          <w:szCs w:val="24"/>
        </w:rPr>
        <w:tab/>
      </w:r>
      <w:r w:rsidR="00322970" w:rsidRPr="00322970">
        <w:rPr>
          <w:rFonts w:ascii="Times New Roman" w:hAnsi="Times New Roman" w:cs="Times New Roman"/>
          <w:bCs/>
          <w:sz w:val="24"/>
          <w:szCs w:val="24"/>
        </w:rPr>
        <w:tab/>
      </w:r>
      <w:r w:rsidR="00322970" w:rsidRPr="00322970">
        <w:rPr>
          <w:rFonts w:ascii="Times New Roman" w:hAnsi="Times New Roman" w:cs="Times New Roman"/>
          <w:bCs/>
          <w:sz w:val="24"/>
          <w:szCs w:val="24"/>
        </w:rPr>
        <w:tab/>
      </w:r>
      <w:r w:rsidR="00322970" w:rsidRPr="00322970">
        <w:rPr>
          <w:rFonts w:ascii="Times New Roman" w:hAnsi="Times New Roman" w:cs="Times New Roman"/>
          <w:bCs/>
          <w:sz w:val="24"/>
          <w:szCs w:val="24"/>
        </w:rPr>
        <w:tab/>
      </w:r>
      <w:r>
        <w:rPr>
          <w:rFonts w:ascii="Times New Roman" w:hAnsi="Times New Roman" w:cs="Times New Roman"/>
          <w:bCs/>
          <w:sz w:val="24"/>
          <w:szCs w:val="24"/>
        </w:rPr>
        <w:tab/>
        <w:t xml:space="preserve">Jānis </w:t>
      </w:r>
      <w:proofErr w:type="spellStart"/>
      <w:r>
        <w:rPr>
          <w:rFonts w:ascii="Times New Roman" w:hAnsi="Times New Roman" w:cs="Times New Roman"/>
          <w:bCs/>
          <w:sz w:val="24"/>
          <w:szCs w:val="24"/>
        </w:rPr>
        <w:t>Bordāns</w:t>
      </w:r>
      <w:proofErr w:type="spellEnd"/>
    </w:p>
    <w:p w14:paraId="61B0D660" w14:textId="77777777" w:rsidR="00283E48" w:rsidRPr="00283E48" w:rsidRDefault="00283E48" w:rsidP="00235E8B">
      <w:pPr>
        <w:spacing w:after="0" w:line="240" w:lineRule="auto"/>
        <w:jc w:val="both"/>
        <w:rPr>
          <w:rFonts w:ascii="Times New Roman" w:hAnsi="Times New Roman" w:cs="Times New Roman"/>
          <w:bCs/>
          <w:sz w:val="24"/>
          <w:szCs w:val="24"/>
        </w:rPr>
      </w:pPr>
    </w:p>
    <w:p w14:paraId="441E31E8" w14:textId="581CF8FD" w:rsidR="00322970" w:rsidRPr="00235E8B" w:rsidRDefault="00322970" w:rsidP="00235E8B">
      <w:pPr>
        <w:spacing w:after="0" w:line="240" w:lineRule="auto"/>
        <w:jc w:val="both"/>
        <w:rPr>
          <w:rFonts w:ascii="Times New Roman" w:hAnsi="Times New Roman" w:cs="Times New Roman"/>
          <w:sz w:val="24"/>
          <w:szCs w:val="24"/>
        </w:rPr>
      </w:pPr>
    </w:p>
    <w:p w14:paraId="0368FCC2" w14:textId="620718F0" w:rsidR="00283E48" w:rsidRPr="00DA0749" w:rsidRDefault="00283E48" w:rsidP="00283E48">
      <w:pPr>
        <w:spacing w:after="0" w:line="240" w:lineRule="auto"/>
        <w:jc w:val="both"/>
        <w:rPr>
          <w:rFonts w:ascii="Times New Roman" w:hAnsi="Times New Roman" w:cs="Times New Roman"/>
          <w:sz w:val="20"/>
          <w:szCs w:val="20"/>
        </w:rPr>
      </w:pPr>
      <w:r w:rsidRPr="00DA0749">
        <w:rPr>
          <w:rFonts w:ascii="Times New Roman" w:hAnsi="Times New Roman" w:cs="Times New Roman"/>
          <w:sz w:val="20"/>
          <w:szCs w:val="20"/>
        </w:rPr>
        <w:t xml:space="preserve">Zariņa 67036905 </w:t>
      </w:r>
    </w:p>
    <w:p w14:paraId="6A88F320" w14:textId="596F8850" w:rsidR="00283E48" w:rsidRPr="00DA0749" w:rsidRDefault="00283E48" w:rsidP="00235E8B">
      <w:pPr>
        <w:spacing w:after="0" w:line="240" w:lineRule="auto"/>
        <w:jc w:val="both"/>
        <w:rPr>
          <w:sz w:val="20"/>
          <w:szCs w:val="20"/>
        </w:rPr>
      </w:pPr>
      <w:r w:rsidRPr="00DA0749">
        <w:rPr>
          <w:rFonts w:ascii="Times New Roman" w:hAnsi="Times New Roman" w:cs="Times New Roman"/>
          <w:sz w:val="20"/>
          <w:szCs w:val="20"/>
        </w:rPr>
        <w:t>Liene.Zarina@tm.gov.lv</w:t>
      </w:r>
    </w:p>
    <w:sectPr w:rsidR="00283E48" w:rsidRPr="00DA074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0DB2" w14:textId="77777777" w:rsidR="00D204EF" w:rsidRDefault="00D204EF">
      <w:pPr>
        <w:spacing w:after="0" w:line="240" w:lineRule="auto"/>
      </w:pPr>
      <w:r>
        <w:separator/>
      </w:r>
    </w:p>
  </w:endnote>
  <w:endnote w:type="continuationSeparator" w:id="0">
    <w:p w14:paraId="3B3364A3" w14:textId="77777777" w:rsidR="00D204EF" w:rsidRDefault="00D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ED53" w14:textId="77777777" w:rsidR="008358E4" w:rsidRDefault="00835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8FD6" w14:textId="539023C7" w:rsidR="009C01DD" w:rsidRPr="001E0698" w:rsidRDefault="008358E4" w:rsidP="001E0698">
    <w:pPr>
      <w:pStyle w:val="Footer"/>
    </w:pPr>
    <w:r w:rsidRPr="008358E4">
      <w:rPr>
        <w:rFonts w:ascii="Times New Roman" w:hAnsi="Times New Roman" w:cs="Times New Roman"/>
        <w:sz w:val="20"/>
        <w:szCs w:val="20"/>
      </w:rPr>
      <w:t>TMAnot_100120_PPF_not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D5C3" w14:textId="658222B4" w:rsidR="009C01DD" w:rsidRPr="004D6EEF" w:rsidRDefault="000808CF">
    <w:pPr>
      <w:pStyle w:val="Footer"/>
      <w:rPr>
        <w:rFonts w:ascii="Times New Roman" w:hAnsi="Times New Roman" w:cs="Times New Roman"/>
        <w:sz w:val="20"/>
        <w:szCs w:val="20"/>
      </w:rPr>
    </w:pPr>
    <w:r w:rsidRPr="000808CF">
      <w:rPr>
        <w:rFonts w:ascii="Times New Roman" w:hAnsi="Times New Roman" w:cs="Times New Roman"/>
        <w:sz w:val="20"/>
        <w:szCs w:val="20"/>
      </w:rPr>
      <w:t>TMAnot_</w:t>
    </w:r>
    <w:r w:rsidR="001C0117">
      <w:rPr>
        <w:rFonts w:ascii="Times New Roman" w:hAnsi="Times New Roman" w:cs="Times New Roman"/>
        <w:sz w:val="20"/>
        <w:szCs w:val="20"/>
      </w:rPr>
      <w:t>1</w:t>
    </w:r>
    <w:r w:rsidR="00B27C43">
      <w:rPr>
        <w:rFonts w:ascii="Times New Roman" w:hAnsi="Times New Roman" w:cs="Times New Roman"/>
        <w:sz w:val="20"/>
        <w:szCs w:val="20"/>
      </w:rPr>
      <w:t>00120</w:t>
    </w:r>
    <w:r w:rsidRPr="000808CF">
      <w:rPr>
        <w:rFonts w:ascii="Times New Roman" w:hAnsi="Times New Roman" w:cs="Times New Roman"/>
        <w:sz w:val="20"/>
        <w:szCs w:val="20"/>
      </w:rPr>
      <w:t>_PPF_not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5709" w14:textId="77777777" w:rsidR="00D204EF" w:rsidRDefault="00D204EF">
      <w:pPr>
        <w:spacing w:after="0" w:line="240" w:lineRule="auto"/>
      </w:pPr>
      <w:r>
        <w:separator/>
      </w:r>
    </w:p>
  </w:footnote>
  <w:footnote w:type="continuationSeparator" w:id="0">
    <w:p w14:paraId="6F92B7E8" w14:textId="77777777" w:rsidR="00D204EF" w:rsidRDefault="00D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350E" w14:textId="77777777" w:rsidR="008358E4" w:rsidRDefault="00835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646280"/>
      <w:docPartObj>
        <w:docPartGallery w:val="Page Numbers (Top of Page)"/>
        <w:docPartUnique/>
      </w:docPartObj>
    </w:sdtPr>
    <w:sdtEndPr>
      <w:rPr>
        <w:rFonts w:ascii="Times New Roman" w:hAnsi="Times New Roman" w:cs="Times New Roman"/>
        <w:noProof/>
        <w:sz w:val="24"/>
        <w:szCs w:val="24"/>
      </w:rPr>
    </w:sdtEndPr>
    <w:sdtContent>
      <w:p w14:paraId="66307101" w14:textId="71CDA8F5" w:rsidR="009C01DD" w:rsidRPr="00235E8B" w:rsidRDefault="009C01DD">
        <w:pPr>
          <w:pStyle w:val="Header"/>
          <w:jc w:val="center"/>
          <w:rPr>
            <w:rFonts w:ascii="Times New Roman" w:hAnsi="Times New Roman" w:cs="Times New Roman"/>
            <w:sz w:val="24"/>
            <w:szCs w:val="24"/>
          </w:rPr>
        </w:pPr>
        <w:r w:rsidRPr="00235E8B">
          <w:rPr>
            <w:rFonts w:ascii="Times New Roman" w:hAnsi="Times New Roman" w:cs="Times New Roman"/>
            <w:sz w:val="24"/>
            <w:szCs w:val="24"/>
          </w:rPr>
          <w:fldChar w:fldCharType="begin"/>
        </w:r>
        <w:r w:rsidRPr="00235E8B">
          <w:rPr>
            <w:rFonts w:ascii="Times New Roman" w:hAnsi="Times New Roman" w:cs="Times New Roman"/>
            <w:sz w:val="24"/>
            <w:szCs w:val="24"/>
          </w:rPr>
          <w:instrText xml:space="preserve"> PAGE   \* MERGEFORMAT </w:instrText>
        </w:r>
        <w:r w:rsidRPr="00235E8B">
          <w:rPr>
            <w:rFonts w:ascii="Times New Roman" w:hAnsi="Times New Roman" w:cs="Times New Roman"/>
            <w:sz w:val="24"/>
            <w:szCs w:val="24"/>
          </w:rPr>
          <w:fldChar w:fldCharType="separate"/>
        </w:r>
        <w:r w:rsidRPr="00235E8B">
          <w:rPr>
            <w:rFonts w:ascii="Times New Roman" w:hAnsi="Times New Roman" w:cs="Times New Roman"/>
            <w:noProof/>
            <w:sz w:val="24"/>
            <w:szCs w:val="24"/>
          </w:rPr>
          <w:t>15</w:t>
        </w:r>
        <w:r w:rsidRPr="00235E8B">
          <w:rPr>
            <w:rFonts w:ascii="Times New Roman" w:hAnsi="Times New Roman" w:cs="Times New Roman"/>
            <w:noProof/>
            <w:sz w:val="24"/>
            <w:szCs w:val="24"/>
          </w:rPr>
          <w:fldChar w:fldCharType="end"/>
        </w:r>
      </w:p>
    </w:sdtContent>
  </w:sdt>
  <w:p w14:paraId="10D646BD" w14:textId="06DCF85B" w:rsidR="009C01DD" w:rsidRPr="004D6EEF" w:rsidRDefault="009C01DD">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4D47" w14:textId="77777777" w:rsidR="008358E4" w:rsidRDefault="00835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21B"/>
    <w:multiLevelType w:val="hybridMultilevel"/>
    <w:tmpl w:val="497EE16C"/>
    <w:lvl w:ilvl="0" w:tplc="19B0D91A">
      <w:start w:val="2019"/>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71D72AF"/>
    <w:multiLevelType w:val="hybridMultilevel"/>
    <w:tmpl w:val="969C4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5"/>
    <w:rsid w:val="00001C54"/>
    <w:rsid w:val="00003360"/>
    <w:rsid w:val="0001015F"/>
    <w:rsid w:val="00014FC4"/>
    <w:rsid w:val="000240F8"/>
    <w:rsid w:val="00026BB5"/>
    <w:rsid w:val="000360A2"/>
    <w:rsid w:val="0003692C"/>
    <w:rsid w:val="00037CD5"/>
    <w:rsid w:val="00044601"/>
    <w:rsid w:val="00044967"/>
    <w:rsid w:val="000455B0"/>
    <w:rsid w:val="00053574"/>
    <w:rsid w:val="000542AB"/>
    <w:rsid w:val="00056BB8"/>
    <w:rsid w:val="000719A7"/>
    <w:rsid w:val="0007614D"/>
    <w:rsid w:val="000808CF"/>
    <w:rsid w:val="00081F93"/>
    <w:rsid w:val="00082969"/>
    <w:rsid w:val="00085E0F"/>
    <w:rsid w:val="00090181"/>
    <w:rsid w:val="00097571"/>
    <w:rsid w:val="000C16B3"/>
    <w:rsid w:val="000C22F2"/>
    <w:rsid w:val="000C73CC"/>
    <w:rsid w:val="000D0B5C"/>
    <w:rsid w:val="000D4BAA"/>
    <w:rsid w:val="000E5B9D"/>
    <w:rsid w:val="000F4704"/>
    <w:rsid w:val="000F5A62"/>
    <w:rsid w:val="001119FA"/>
    <w:rsid w:val="00111DD1"/>
    <w:rsid w:val="001140DA"/>
    <w:rsid w:val="001155A6"/>
    <w:rsid w:val="00120E9F"/>
    <w:rsid w:val="00127ACD"/>
    <w:rsid w:val="0013048C"/>
    <w:rsid w:val="001361E8"/>
    <w:rsid w:val="001413A4"/>
    <w:rsid w:val="00152F6C"/>
    <w:rsid w:val="00171488"/>
    <w:rsid w:val="001758E7"/>
    <w:rsid w:val="001847A7"/>
    <w:rsid w:val="001876D0"/>
    <w:rsid w:val="00194D2D"/>
    <w:rsid w:val="00194E21"/>
    <w:rsid w:val="001A041B"/>
    <w:rsid w:val="001B46C6"/>
    <w:rsid w:val="001C0117"/>
    <w:rsid w:val="001C7341"/>
    <w:rsid w:val="001E0698"/>
    <w:rsid w:val="001E7A36"/>
    <w:rsid w:val="001F04AC"/>
    <w:rsid w:val="001F6544"/>
    <w:rsid w:val="00202900"/>
    <w:rsid w:val="002214DF"/>
    <w:rsid w:val="002259AF"/>
    <w:rsid w:val="0022773A"/>
    <w:rsid w:val="00235E8B"/>
    <w:rsid w:val="00262A3C"/>
    <w:rsid w:val="00272B3F"/>
    <w:rsid w:val="00275D9B"/>
    <w:rsid w:val="002801C7"/>
    <w:rsid w:val="00283E48"/>
    <w:rsid w:val="002A22D5"/>
    <w:rsid w:val="002C234F"/>
    <w:rsid w:val="002C396D"/>
    <w:rsid w:val="002C7A47"/>
    <w:rsid w:val="002D1BB1"/>
    <w:rsid w:val="002E0781"/>
    <w:rsid w:val="002E5472"/>
    <w:rsid w:val="002E568C"/>
    <w:rsid w:val="002F1815"/>
    <w:rsid w:val="0030019C"/>
    <w:rsid w:val="00302A37"/>
    <w:rsid w:val="003046F3"/>
    <w:rsid w:val="00306465"/>
    <w:rsid w:val="00307CBC"/>
    <w:rsid w:val="00322970"/>
    <w:rsid w:val="00326229"/>
    <w:rsid w:val="0033297A"/>
    <w:rsid w:val="00344970"/>
    <w:rsid w:val="00363CD3"/>
    <w:rsid w:val="00371168"/>
    <w:rsid w:val="003712CF"/>
    <w:rsid w:val="00375B70"/>
    <w:rsid w:val="003840B5"/>
    <w:rsid w:val="00385E9A"/>
    <w:rsid w:val="003865A5"/>
    <w:rsid w:val="00386DF6"/>
    <w:rsid w:val="003909B6"/>
    <w:rsid w:val="003950EC"/>
    <w:rsid w:val="003957A1"/>
    <w:rsid w:val="003B10C1"/>
    <w:rsid w:val="003B45D5"/>
    <w:rsid w:val="003D47B5"/>
    <w:rsid w:val="003E02E8"/>
    <w:rsid w:val="003E64DF"/>
    <w:rsid w:val="003E6FE9"/>
    <w:rsid w:val="003F523C"/>
    <w:rsid w:val="003F7B15"/>
    <w:rsid w:val="004013F8"/>
    <w:rsid w:val="004121C1"/>
    <w:rsid w:val="004255EE"/>
    <w:rsid w:val="0044389C"/>
    <w:rsid w:val="004543E4"/>
    <w:rsid w:val="00463902"/>
    <w:rsid w:val="00463C7C"/>
    <w:rsid w:val="00475528"/>
    <w:rsid w:val="004804D4"/>
    <w:rsid w:val="00481107"/>
    <w:rsid w:val="00482012"/>
    <w:rsid w:val="00491D45"/>
    <w:rsid w:val="004944FA"/>
    <w:rsid w:val="00495A19"/>
    <w:rsid w:val="00497F24"/>
    <w:rsid w:val="004A4E57"/>
    <w:rsid w:val="004A73E0"/>
    <w:rsid w:val="004B328E"/>
    <w:rsid w:val="004C335F"/>
    <w:rsid w:val="004C48B1"/>
    <w:rsid w:val="004C5662"/>
    <w:rsid w:val="004D4515"/>
    <w:rsid w:val="004D4F10"/>
    <w:rsid w:val="004D6BAA"/>
    <w:rsid w:val="004D6EEF"/>
    <w:rsid w:val="004D7945"/>
    <w:rsid w:val="004E1A1E"/>
    <w:rsid w:val="004E46B5"/>
    <w:rsid w:val="004F752F"/>
    <w:rsid w:val="005012C7"/>
    <w:rsid w:val="00506B28"/>
    <w:rsid w:val="0052408D"/>
    <w:rsid w:val="0053797D"/>
    <w:rsid w:val="00541CBF"/>
    <w:rsid w:val="0054476F"/>
    <w:rsid w:val="00560C94"/>
    <w:rsid w:val="00561954"/>
    <w:rsid w:val="00561BE6"/>
    <w:rsid w:val="00575162"/>
    <w:rsid w:val="00597F8A"/>
    <w:rsid w:val="005A4EC2"/>
    <w:rsid w:val="005A779A"/>
    <w:rsid w:val="005C5B6C"/>
    <w:rsid w:val="005C7178"/>
    <w:rsid w:val="005D0C14"/>
    <w:rsid w:val="005D11EA"/>
    <w:rsid w:val="005E2ACF"/>
    <w:rsid w:val="005E496B"/>
    <w:rsid w:val="006009E1"/>
    <w:rsid w:val="006061C9"/>
    <w:rsid w:val="00606506"/>
    <w:rsid w:val="00607F31"/>
    <w:rsid w:val="006122EF"/>
    <w:rsid w:val="0061490B"/>
    <w:rsid w:val="006262A8"/>
    <w:rsid w:val="00642D32"/>
    <w:rsid w:val="0064585B"/>
    <w:rsid w:val="00646497"/>
    <w:rsid w:val="00647D6F"/>
    <w:rsid w:val="00660ACF"/>
    <w:rsid w:val="006653E5"/>
    <w:rsid w:val="00671FBD"/>
    <w:rsid w:val="006726A9"/>
    <w:rsid w:val="006733C7"/>
    <w:rsid w:val="00677E51"/>
    <w:rsid w:val="00682444"/>
    <w:rsid w:val="00691335"/>
    <w:rsid w:val="006B5ACF"/>
    <w:rsid w:val="006C2964"/>
    <w:rsid w:val="006C7112"/>
    <w:rsid w:val="006C727A"/>
    <w:rsid w:val="006E29DC"/>
    <w:rsid w:val="006E3594"/>
    <w:rsid w:val="006F698C"/>
    <w:rsid w:val="006F7015"/>
    <w:rsid w:val="00704624"/>
    <w:rsid w:val="00704CF6"/>
    <w:rsid w:val="00706672"/>
    <w:rsid w:val="00710AEE"/>
    <w:rsid w:val="007149A5"/>
    <w:rsid w:val="00730E12"/>
    <w:rsid w:val="0076061D"/>
    <w:rsid w:val="00787F7C"/>
    <w:rsid w:val="007B474C"/>
    <w:rsid w:val="007B59FA"/>
    <w:rsid w:val="007C0971"/>
    <w:rsid w:val="007C1F6C"/>
    <w:rsid w:val="007D767D"/>
    <w:rsid w:val="007F4F39"/>
    <w:rsid w:val="008016F5"/>
    <w:rsid w:val="008058BA"/>
    <w:rsid w:val="008108AC"/>
    <w:rsid w:val="00811BA9"/>
    <w:rsid w:val="00814BB9"/>
    <w:rsid w:val="008358E4"/>
    <w:rsid w:val="00846582"/>
    <w:rsid w:val="00872525"/>
    <w:rsid w:val="00875E5A"/>
    <w:rsid w:val="00884D09"/>
    <w:rsid w:val="00893B40"/>
    <w:rsid w:val="008B6403"/>
    <w:rsid w:val="008C2710"/>
    <w:rsid w:val="008C542E"/>
    <w:rsid w:val="008C6777"/>
    <w:rsid w:val="008E3236"/>
    <w:rsid w:val="008E7993"/>
    <w:rsid w:val="00904AEF"/>
    <w:rsid w:val="00910FA0"/>
    <w:rsid w:val="00913FCA"/>
    <w:rsid w:val="00922F10"/>
    <w:rsid w:val="0093235E"/>
    <w:rsid w:val="00932A7E"/>
    <w:rsid w:val="00956286"/>
    <w:rsid w:val="00960E3F"/>
    <w:rsid w:val="0097372E"/>
    <w:rsid w:val="00973EE5"/>
    <w:rsid w:val="00975749"/>
    <w:rsid w:val="0098111C"/>
    <w:rsid w:val="00991ECE"/>
    <w:rsid w:val="00992266"/>
    <w:rsid w:val="00994B55"/>
    <w:rsid w:val="009A2AFE"/>
    <w:rsid w:val="009B0784"/>
    <w:rsid w:val="009B1654"/>
    <w:rsid w:val="009B4511"/>
    <w:rsid w:val="009B4C6C"/>
    <w:rsid w:val="009C01DD"/>
    <w:rsid w:val="009C0B30"/>
    <w:rsid w:val="009D0212"/>
    <w:rsid w:val="009D0B99"/>
    <w:rsid w:val="009E2A7B"/>
    <w:rsid w:val="009F0CA3"/>
    <w:rsid w:val="009F335D"/>
    <w:rsid w:val="009F4343"/>
    <w:rsid w:val="009F48FE"/>
    <w:rsid w:val="00A01F0F"/>
    <w:rsid w:val="00A01F45"/>
    <w:rsid w:val="00A02514"/>
    <w:rsid w:val="00A123F4"/>
    <w:rsid w:val="00A135EE"/>
    <w:rsid w:val="00A17EE7"/>
    <w:rsid w:val="00A252B0"/>
    <w:rsid w:val="00A27E98"/>
    <w:rsid w:val="00A443B7"/>
    <w:rsid w:val="00A57096"/>
    <w:rsid w:val="00A57F12"/>
    <w:rsid w:val="00A82058"/>
    <w:rsid w:val="00A86180"/>
    <w:rsid w:val="00AB4159"/>
    <w:rsid w:val="00AC15F3"/>
    <w:rsid w:val="00AC1C29"/>
    <w:rsid w:val="00AC4AC7"/>
    <w:rsid w:val="00AC4D7F"/>
    <w:rsid w:val="00AC773E"/>
    <w:rsid w:val="00AC78A8"/>
    <w:rsid w:val="00AD5EA1"/>
    <w:rsid w:val="00AE4DBE"/>
    <w:rsid w:val="00AE69C3"/>
    <w:rsid w:val="00AF0A7E"/>
    <w:rsid w:val="00AF122C"/>
    <w:rsid w:val="00AF4EC7"/>
    <w:rsid w:val="00B028B0"/>
    <w:rsid w:val="00B055CF"/>
    <w:rsid w:val="00B227D6"/>
    <w:rsid w:val="00B24331"/>
    <w:rsid w:val="00B27C43"/>
    <w:rsid w:val="00B370C0"/>
    <w:rsid w:val="00B4793E"/>
    <w:rsid w:val="00B64670"/>
    <w:rsid w:val="00B6682E"/>
    <w:rsid w:val="00B732C6"/>
    <w:rsid w:val="00B759F0"/>
    <w:rsid w:val="00B75DD6"/>
    <w:rsid w:val="00B8114A"/>
    <w:rsid w:val="00B87253"/>
    <w:rsid w:val="00BC1F63"/>
    <w:rsid w:val="00BC22AC"/>
    <w:rsid w:val="00BC79F0"/>
    <w:rsid w:val="00BD294B"/>
    <w:rsid w:val="00BD2A88"/>
    <w:rsid w:val="00BD7C30"/>
    <w:rsid w:val="00BE6907"/>
    <w:rsid w:val="00BF45D6"/>
    <w:rsid w:val="00C03409"/>
    <w:rsid w:val="00C15BB0"/>
    <w:rsid w:val="00C21119"/>
    <w:rsid w:val="00C230AD"/>
    <w:rsid w:val="00C3699A"/>
    <w:rsid w:val="00C4118E"/>
    <w:rsid w:val="00C53E7D"/>
    <w:rsid w:val="00C5443E"/>
    <w:rsid w:val="00C576F9"/>
    <w:rsid w:val="00C66B78"/>
    <w:rsid w:val="00C67C11"/>
    <w:rsid w:val="00C67E53"/>
    <w:rsid w:val="00C717EC"/>
    <w:rsid w:val="00C8723C"/>
    <w:rsid w:val="00C957DE"/>
    <w:rsid w:val="00C96F3B"/>
    <w:rsid w:val="00CB2BBD"/>
    <w:rsid w:val="00CC67EA"/>
    <w:rsid w:val="00CD22B8"/>
    <w:rsid w:val="00CD324D"/>
    <w:rsid w:val="00CD56A5"/>
    <w:rsid w:val="00CE6650"/>
    <w:rsid w:val="00CE7F4E"/>
    <w:rsid w:val="00CF35EB"/>
    <w:rsid w:val="00D0629A"/>
    <w:rsid w:val="00D17576"/>
    <w:rsid w:val="00D204EF"/>
    <w:rsid w:val="00D21A99"/>
    <w:rsid w:val="00D237AC"/>
    <w:rsid w:val="00D259DC"/>
    <w:rsid w:val="00D271F9"/>
    <w:rsid w:val="00D37470"/>
    <w:rsid w:val="00D40D0C"/>
    <w:rsid w:val="00D42062"/>
    <w:rsid w:val="00D525B9"/>
    <w:rsid w:val="00D5483C"/>
    <w:rsid w:val="00D5783D"/>
    <w:rsid w:val="00D57FCA"/>
    <w:rsid w:val="00D75774"/>
    <w:rsid w:val="00D867D1"/>
    <w:rsid w:val="00D91948"/>
    <w:rsid w:val="00D93A15"/>
    <w:rsid w:val="00D93B6B"/>
    <w:rsid w:val="00DA0749"/>
    <w:rsid w:val="00DB22C2"/>
    <w:rsid w:val="00DB4D28"/>
    <w:rsid w:val="00DC6CAD"/>
    <w:rsid w:val="00DD2FF2"/>
    <w:rsid w:val="00DD6267"/>
    <w:rsid w:val="00DE2F4C"/>
    <w:rsid w:val="00DE550C"/>
    <w:rsid w:val="00DF039E"/>
    <w:rsid w:val="00DF5E25"/>
    <w:rsid w:val="00E0068F"/>
    <w:rsid w:val="00E048AD"/>
    <w:rsid w:val="00E065A8"/>
    <w:rsid w:val="00E11C5C"/>
    <w:rsid w:val="00E11E6D"/>
    <w:rsid w:val="00E149CE"/>
    <w:rsid w:val="00E16879"/>
    <w:rsid w:val="00E27367"/>
    <w:rsid w:val="00E27B47"/>
    <w:rsid w:val="00E32AF1"/>
    <w:rsid w:val="00E55E33"/>
    <w:rsid w:val="00E6416A"/>
    <w:rsid w:val="00E70DA8"/>
    <w:rsid w:val="00E71FD7"/>
    <w:rsid w:val="00E7466F"/>
    <w:rsid w:val="00E80D3D"/>
    <w:rsid w:val="00E81B80"/>
    <w:rsid w:val="00E83A25"/>
    <w:rsid w:val="00EA793B"/>
    <w:rsid w:val="00EC7B3C"/>
    <w:rsid w:val="00ED2D35"/>
    <w:rsid w:val="00ED5F1E"/>
    <w:rsid w:val="00EE02AF"/>
    <w:rsid w:val="00EE2B48"/>
    <w:rsid w:val="00EF02A7"/>
    <w:rsid w:val="00EF0D60"/>
    <w:rsid w:val="00EF1B3D"/>
    <w:rsid w:val="00EF566E"/>
    <w:rsid w:val="00F122A5"/>
    <w:rsid w:val="00F127AD"/>
    <w:rsid w:val="00F15A78"/>
    <w:rsid w:val="00F21604"/>
    <w:rsid w:val="00F22F3C"/>
    <w:rsid w:val="00F23693"/>
    <w:rsid w:val="00F25503"/>
    <w:rsid w:val="00F25C6E"/>
    <w:rsid w:val="00F462FA"/>
    <w:rsid w:val="00F63006"/>
    <w:rsid w:val="00F77B92"/>
    <w:rsid w:val="00F80DAC"/>
    <w:rsid w:val="00F839DC"/>
    <w:rsid w:val="00F932CB"/>
    <w:rsid w:val="00F95594"/>
    <w:rsid w:val="00F95BC8"/>
    <w:rsid w:val="00FA18F4"/>
    <w:rsid w:val="00FA74A4"/>
    <w:rsid w:val="00FB02E9"/>
    <w:rsid w:val="00FB6D83"/>
    <w:rsid w:val="00FC2866"/>
    <w:rsid w:val="00FD260C"/>
    <w:rsid w:val="00FF58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7245C"/>
  <w15:docId w15:val="{118947AC-3292-499B-B5AD-CCA4637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B30"/>
    <w:pPr>
      <w:spacing w:after="160" w:line="259" w:lineRule="auto"/>
    </w:pPr>
    <w:rPr>
      <w:rFonts w:ascii="Calibri" w:eastAsia="Calibri" w:hAnsi="Calibri"/>
      <w:color w:val="00000A"/>
      <w:sz w:val="22"/>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Link">
    <w:name w:val="Internet 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styleId="CommentReference">
    <w:name w:val="annotation reference"/>
    <w:basedOn w:val="DefaultParagraphFont"/>
    <w:uiPriority w:val="99"/>
    <w:semiHidden/>
    <w:unhideWhenUsed/>
    <w:qFormat/>
    <w:rsid w:val="007C2A43"/>
    <w:rPr>
      <w:sz w:val="16"/>
      <w:szCs w:val="16"/>
    </w:rPr>
  </w:style>
  <w:style w:type="character" w:customStyle="1" w:styleId="CommentTextChar">
    <w:name w:val="Comment Text Char"/>
    <w:basedOn w:val="DefaultParagraphFont"/>
    <w:link w:val="CommentText"/>
    <w:uiPriority w:val="99"/>
    <w:semiHidden/>
    <w:qFormat/>
    <w:rsid w:val="007C2A43"/>
    <w:rPr>
      <w:color w:val="00000A"/>
      <w:szCs w:val="20"/>
    </w:rPr>
  </w:style>
  <w:style w:type="character" w:customStyle="1" w:styleId="CommentSubjectChar">
    <w:name w:val="Comment Subject Char"/>
    <w:basedOn w:val="CommentTextChar"/>
    <w:link w:val="CommentSubject"/>
    <w:uiPriority w:val="99"/>
    <w:semiHidden/>
    <w:qFormat/>
    <w:rsid w:val="007C2A43"/>
    <w:rPr>
      <w:b/>
      <w:bCs/>
      <w:color w:val="00000A"/>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7C2A4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C2A43"/>
    <w:rPr>
      <w:b/>
      <w:bCs/>
    </w:rPr>
  </w:style>
  <w:style w:type="paragraph" w:customStyle="1" w:styleId="StyleRight">
    <w:name w:val="Style Right"/>
    <w:basedOn w:val="Normal"/>
    <w:qFormat/>
    <w:pPr>
      <w:spacing w:after="120" w:line="240" w:lineRule="auto"/>
      <w:ind w:firstLine="720"/>
      <w:jc w:val="right"/>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67C11"/>
    <w:rPr>
      <w:color w:val="0563C1" w:themeColor="hyperlink"/>
      <w:u w:val="single"/>
    </w:rPr>
  </w:style>
  <w:style w:type="paragraph" w:styleId="Revision">
    <w:name w:val="Revision"/>
    <w:hidden/>
    <w:uiPriority w:val="99"/>
    <w:semiHidden/>
    <w:rsid w:val="00992266"/>
    <w:rPr>
      <w:rFonts w:ascii="Calibri" w:eastAsia="Calibri" w:hAnsi="Calibri"/>
      <w:color w:val="00000A"/>
      <w:sz w:val="22"/>
    </w:rPr>
  </w:style>
  <w:style w:type="paragraph" w:styleId="FootnoteText">
    <w:name w:val="footnote text"/>
    <w:basedOn w:val="Normal"/>
    <w:link w:val="FootnoteTextChar"/>
    <w:uiPriority w:val="99"/>
    <w:semiHidden/>
    <w:unhideWhenUsed/>
    <w:rsid w:val="002F1815"/>
    <w:pPr>
      <w:spacing w:after="0" w:line="240" w:lineRule="auto"/>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2F1815"/>
    <w:rPr>
      <w:szCs w:val="20"/>
    </w:rPr>
  </w:style>
  <w:style w:type="character" w:styleId="FootnoteReference">
    <w:name w:val="footnote reference"/>
    <w:basedOn w:val="DefaultParagraphFont"/>
    <w:uiPriority w:val="99"/>
    <w:semiHidden/>
    <w:unhideWhenUsed/>
    <w:rsid w:val="002F1815"/>
    <w:rPr>
      <w:vertAlign w:val="superscript"/>
    </w:rPr>
  </w:style>
  <w:style w:type="paragraph" w:customStyle="1" w:styleId="tv2132">
    <w:name w:val="tv2132"/>
    <w:basedOn w:val="Normal"/>
    <w:rsid w:val="00E81B8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DefaultParagraphFont"/>
    <w:uiPriority w:val="99"/>
    <w:semiHidden/>
    <w:unhideWhenUsed/>
    <w:rsid w:val="00E81B80"/>
    <w:rPr>
      <w:color w:val="605E5C"/>
      <w:shd w:val="clear" w:color="auto" w:fill="E1DFDD"/>
    </w:rPr>
  </w:style>
  <w:style w:type="table" w:styleId="TableGrid">
    <w:name w:val="Table Grid"/>
    <w:basedOn w:val="TableNormal"/>
    <w:uiPriority w:val="39"/>
    <w:rsid w:val="00B8725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87253"/>
    <w:rPr>
      <w:i/>
      <w:iCs/>
      <w:color w:val="404040" w:themeColor="text1" w:themeTint="BF"/>
    </w:rPr>
  </w:style>
  <w:style w:type="paragraph" w:styleId="NoSpacing">
    <w:name w:val="No Spacing"/>
    <w:uiPriority w:val="1"/>
    <w:qFormat/>
    <w:rsid w:val="002C7A47"/>
    <w:rPr>
      <w:sz w:val="22"/>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1119FA"/>
    <w:pPr>
      <w:spacing w:after="200" w:line="276" w:lineRule="auto"/>
      <w:ind w:left="720"/>
      <w:contextualSpacing/>
    </w:pPr>
    <w:rPr>
      <w:rFonts w:cs="Times New Roman"/>
      <w:color w:val="auto"/>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1119FA"/>
    <w:rPr>
      <w:rFonts w:ascii="Calibri" w:eastAsia="Calibri" w:hAnsi="Calibri" w:cs="Times New Roman"/>
      <w:sz w:val="22"/>
    </w:rPr>
  </w:style>
  <w:style w:type="paragraph" w:customStyle="1" w:styleId="naisf">
    <w:name w:val="naisf"/>
    <w:basedOn w:val="Normal"/>
    <w:rsid w:val="00B4793E"/>
    <w:pPr>
      <w:spacing w:before="75" w:after="75" w:line="240" w:lineRule="auto"/>
      <w:ind w:firstLine="375"/>
      <w:jc w:val="both"/>
    </w:pPr>
    <w:rPr>
      <w:rFonts w:ascii="Times New Roman" w:eastAsia="Times New Roman" w:hAnsi="Times New Roman" w:cs="Times New Roman"/>
      <w:color w:val="auto"/>
      <w:sz w:val="24"/>
      <w:szCs w:val="24"/>
      <w:lang w:eastAsia="lv-LV"/>
    </w:rPr>
  </w:style>
  <w:style w:type="character" w:styleId="UnresolvedMention">
    <w:name w:val="Unresolved Mention"/>
    <w:basedOn w:val="DefaultParagraphFont"/>
    <w:uiPriority w:val="99"/>
    <w:semiHidden/>
    <w:unhideWhenUsed/>
    <w:rsid w:val="00304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6845">
      <w:bodyDiv w:val="1"/>
      <w:marLeft w:val="0"/>
      <w:marRight w:val="0"/>
      <w:marTop w:val="0"/>
      <w:marBottom w:val="0"/>
      <w:divBdr>
        <w:top w:val="none" w:sz="0" w:space="0" w:color="auto"/>
        <w:left w:val="none" w:sz="0" w:space="0" w:color="auto"/>
        <w:bottom w:val="none" w:sz="0" w:space="0" w:color="auto"/>
        <w:right w:val="none" w:sz="0" w:space="0" w:color="auto"/>
      </w:divBdr>
      <w:divsChild>
        <w:div w:id="398283850">
          <w:marLeft w:val="0"/>
          <w:marRight w:val="0"/>
          <w:marTop w:val="0"/>
          <w:marBottom w:val="0"/>
          <w:divBdr>
            <w:top w:val="none" w:sz="0" w:space="0" w:color="auto"/>
            <w:left w:val="none" w:sz="0" w:space="0" w:color="auto"/>
            <w:bottom w:val="none" w:sz="0" w:space="0" w:color="auto"/>
            <w:right w:val="none" w:sz="0" w:space="0" w:color="auto"/>
          </w:divBdr>
          <w:divsChild>
            <w:div w:id="1659385580">
              <w:marLeft w:val="0"/>
              <w:marRight w:val="0"/>
              <w:marTop w:val="0"/>
              <w:marBottom w:val="0"/>
              <w:divBdr>
                <w:top w:val="none" w:sz="0" w:space="0" w:color="auto"/>
                <w:left w:val="none" w:sz="0" w:space="0" w:color="auto"/>
                <w:bottom w:val="none" w:sz="0" w:space="0" w:color="auto"/>
                <w:right w:val="none" w:sz="0" w:space="0" w:color="auto"/>
              </w:divBdr>
              <w:divsChild>
                <w:div w:id="668363833">
                  <w:marLeft w:val="0"/>
                  <w:marRight w:val="0"/>
                  <w:marTop w:val="0"/>
                  <w:marBottom w:val="0"/>
                  <w:divBdr>
                    <w:top w:val="none" w:sz="0" w:space="0" w:color="auto"/>
                    <w:left w:val="none" w:sz="0" w:space="0" w:color="auto"/>
                    <w:bottom w:val="none" w:sz="0" w:space="0" w:color="auto"/>
                    <w:right w:val="none" w:sz="0" w:space="0" w:color="auto"/>
                  </w:divBdr>
                  <w:divsChild>
                    <w:div w:id="1183974378">
                      <w:marLeft w:val="0"/>
                      <w:marRight w:val="0"/>
                      <w:marTop w:val="0"/>
                      <w:marBottom w:val="0"/>
                      <w:divBdr>
                        <w:top w:val="single" w:sz="6" w:space="0" w:color="E1E1E1"/>
                        <w:left w:val="none" w:sz="0" w:space="0" w:color="auto"/>
                        <w:bottom w:val="single" w:sz="12" w:space="0" w:color="6C1F7E"/>
                        <w:right w:val="none" w:sz="0" w:space="0" w:color="auto"/>
                      </w:divBdr>
                      <w:divsChild>
                        <w:div w:id="942224716">
                          <w:marLeft w:val="0"/>
                          <w:marRight w:val="0"/>
                          <w:marTop w:val="0"/>
                          <w:marBottom w:val="0"/>
                          <w:divBdr>
                            <w:top w:val="none" w:sz="0" w:space="0" w:color="auto"/>
                            <w:left w:val="none" w:sz="0" w:space="0" w:color="auto"/>
                            <w:bottom w:val="none" w:sz="0" w:space="0" w:color="auto"/>
                            <w:right w:val="none" w:sz="0" w:space="0" w:color="auto"/>
                          </w:divBdr>
                          <w:divsChild>
                            <w:div w:id="2085713256">
                              <w:marLeft w:val="0"/>
                              <w:marRight w:val="0"/>
                              <w:marTop w:val="0"/>
                              <w:marBottom w:val="0"/>
                              <w:divBdr>
                                <w:top w:val="none" w:sz="0" w:space="0" w:color="auto"/>
                                <w:left w:val="none" w:sz="0" w:space="0" w:color="auto"/>
                                <w:bottom w:val="none" w:sz="0" w:space="0" w:color="auto"/>
                                <w:right w:val="none" w:sz="0" w:space="0" w:color="auto"/>
                              </w:divBdr>
                              <w:divsChild>
                                <w:div w:id="1833175094">
                                  <w:marLeft w:val="0"/>
                                  <w:marRight w:val="450"/>
                                  <w:marTop w:val="150"/>
                                  <w:marBottom w:val="0"/>
                                  <w:divBdr>
                                    <w:top w:val="none" w:sz="0" w:space="0" w:color="auto"/>
                                    <w:left w:val="none" w:sz="0" w:space="0" w:color="auto"/>
                                    <w:bottom w:val="none" w:sz="0" w:space="0" w:color="auto"/>
                                    <w:right w:val="none" w:sz="0" w:space="0" w:color="auto"/>
                                  </w:divBdr>
                                  <w:divsChild>
                                    <w:div w:id="981735862">
                                      <w:marLeft w:val="0"/>
                                      <w:marRight w:val="0"/>
                                      <w:marTop w:val="0"/>
                                      <w:marBottom w:val="0"/>
                                      <w:divBdr>
                                        <w:top w:val="none" w:sz="0" w:space="0" w:color="auto"/>
                                        <w:left w:val="none" w:sz="0" w:space="0" w:color="auto"/>
                                        <w:bottom w:val="none" w:sz="0" w:space="0" w:color="auto"/>
                                        <w:right w:val="none" w:sz="0" w:space="0" w:color="auto"/>
                                      </w:divBdr>
                                    </w:div>
                                    <w:div w:id="16774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946904">
      <w:bodyDiv w:val="1"/>
      <w:marLeft w:val="0"/>
      <w:marRight w:val="0"/>
      <w:marTop w:val="0"/>
      <w:marBottom w:val="0"/>
      <w:divBdr>
        <w:top w:val="none" w:sz="0" w:space="0" w:color="auto"/>
        <w:left w:val="none" w:sz="0" w:space="0" w:color="auto"/>
        <w:bottom w:val="none" w:sz="0" w:space="0" w:color="auto"/>
        <w:right w:val="none" w:sz="0" w:space="0" w:color="auto"/>
      </w:divBdr>
      <w:divsChild>
        <w:div w:id="1378551650">
          <w:marLeft w:val="0"/>
          <w:marRight w:val="0"/>
          <w:marTop w:val="0"/>
          <w:marBottom w:val="0"/>
          <w:divBdr>
            <w:top w:val="none" w:sz="0" w:space="0" w:color="auto"/>
            <w:left w:val="none" w:sz="0" w:space="0" w:color="auto"/>
            <w:bottom w:val="none" w:sz="0" w:space="0" w:color="auto"/>
            <w:right w:val="none" w:sz="0" w:space="0" w:color="auto"/>
          </w:divBdr>
          <w:divsChild>
            <w:div w:id="517424398">
              <w:marLeft w:val="0"/>
              <w:marRight w:val="0"/>
              <w:marTop w:val="0"/>
              <w:marBottom w:val="0"/>
              <w:divBdr>
                <w:top w:val="none" w:sz="0" w:space="0" w:color="auto"/>
                <w:left w:val="none" w:sz="0" w:space="0" w:color="auto"/>
                <w:bottom w:val="none" w:sz="0" w:space="0" w:color="auto"/>
                <w:right w:val="none" w:sz="0" w:space="0" w:color="auto"/>
              </w:divBdr>
              <w:divsChild>
                <w:div w:id="1670134802">
                  <w:marLeft w:val="0"/>
                  <w:marRight w:val="0"/>
                  <w:marTop w:val="0"/>
                  <w:marBottom w:val="0"/>
                  <w:divBdr>
                    <w:top w:val="none" w:sz="0" w:space="0" w:color="auto"/>
                    <w:left w:val="none" w:sz="0" w:space="0" w:color="auto"/>
                    <w:bottom w:val="none" w:sz="0" w:space="0" w:color="auto"/>
                    <w:right w:val="none" w:sz="0" w:space="0" w:color="auto"/>
                  </w:divBdr>
                  <w:divsChild>
                    <w:div w:id="220940989">
                      <w:marLeft w:val="0"/>
                      <w:marRight w:val="0"/>
                      <w:marTop w:val="0"/>
                      <w:marBottom w:val="0"/>
                      <w:divBdr>
                        <w:top w:val="none" w:sz="0" w:space="0" w:color="auto"/>
                        <w:left w:val="none" w:sz="0" w:space="0" w:color="auto"/>
                        <w:bottom w:val="none" w:sz="0" w:space="0" w:color="auto"/>
                        <w:right w:val="none" w:sz="0" w:space="0" w:color="auto"/>
                      </w:divBdr>
                      <w:divsChild>
                        <w:div w:id="1024014484">
                          <w:marLeft w:val="0"/>
                          <w:marRight w:val="0"/>
                          <w:marTop w:val="0"/>
                          <w:marBottom w:val="0"/>
                          <w:divBdr>
                            <w:top w:val="none" w:sz="0" w:space="0" w:color="auto"/>
                            <w:left w:val="none" w:sz="0" w:space="0" w:color="auto"/>
                            <w:bottom w:val="none" w:sz="0" w:space="0" w:color="auto"/>
                            <w:right w:val="none" w:sz="0" w:space="0" w:color="auto"/>
                          </w:divBdr>
                          <w:divsChild>
                            <w:div w:id="515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7053">
      <w:bodyDiv w:val="1"/>
      <w:marLeft w:val="0"/>
      <w:marRight w:val="0"/>
      <w:marTop w:val="0"/>
      <w:marBottom w:val="0"/>
      <w:divBdr>
        <w:top w:val="none" w:sz="0" w:space="0" w:color="auto"/>
        <w:left w:val="none" w:sz="0" w:space="0" w:color="auto"/>
        <w:bottom w:val="none" w:sz="0" w:space="0" w:color="auto"/>
        <w:right w:val="none" w:sz="0" w:space="0" w:color="auto"/>
      </w:divBdr>
    </w:div>
    <w:div w:id="187341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1E5C-035B-40C9-B35E-8C12BE76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8487</Words>
  <Characters>4838</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“Politiskajām organizācijām (partijām) piešķirtā valsts budžeta finansējuma izlietojuma noteikumi” sākotnējās ietekmes novērtējuma ziņojums (anotācija)</vt:lpstr>
      <vt:lpstr>Grozījumi Politisko organizāciju (partiju) finansēšanas likumā</vt:lpstr>
    </vt:vector>
  </TitlesOfParts>
  <Company>Tieslietu ministrija</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“Politiskajām organizācijām (partijām) piešķirtā valsts budžeta finansējuma izlietojuma noteikumi” sākotnējās ietekmes novērtējuma ziņojums (anotācija)</dc:title>
  <dc:subject>Anotācija</dc:subject>
  <dc:creator>Liene Zariņa</dc:creator>
  <dc:description>67036905, Liene.Zarina@tm.gov.lv</dc:description>
  <cp:lastModifiedBy>Laimdota Adlere</cp:lastModifiedBy>
  <cp:revision>2</cp:revision>
  <cp:lastPrinted>2019-10-11T06:07:00Z</cp:lastPrinted>
  <dcterms:created xsi:type="dcterms:W3CDTF">2020-01-13T11:09:00Z</dcterms:created>
  <dcterms:modified xsi:type="dcterms:W3CDTF">2020-01-13T11:09:00Z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